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75948CE7"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9" w:history="1">
        <w:r w:rsidR="00CB7907">
          <w:rPr>
            <w:rFonts w:cs="Arial"/>
            <w:b/>
            <w:sz w:val="24"/>
            <w:szCs w:val="24"/>
            <w:lang w:eastAsia="zh-CN"/>
          </w:rPr>
          <w:t>9</w:t>
        </w:r>
        <w:r w:rsidR="00CC71EC">
          <w:rPr>
            <w:rFonts w:cs="Arial"/>
            <w:b/>
            <w:sz w:val="24"/>
            <w:szCs w:val="24"/>
            <w:lang w:eastAsia="zh-CN"/>
          </w:rPr>
          <w:t>1</w:t>
        </w:r>
      </w:hyperlink>
      <w:r w:rsidR="006358BA">
        <w:rPr>
          <w:b/>
          <w:i/>
          <w:noProof/>
          <w:sz w:val="28"/>
        </w:rPr>
        <w:tab/>
      </w:r>
      <w:r w:rsidR="00267E9F" w:rsidRPr="00267E9F">
        <w:rPr>
          <w:rFonts w:cs="Arial"/>
          <w:b/>
          <w:sz w:val="24"/>
          <w:szCs w:val="24"/>
        </w:rPr>
        <w:t>R4-190</w:t>
      </w:r>
      <w:r w:rsidR="0008533D">
        <w:rPr>
          <w:rFonts w:cs="Arial"/>
          <w:b/>
          <w:sz w:val="24"/>
          <w:szCs w:val="24"/>
        </w:rPr>
        <w:t>7129</w:t>
      </w:r>
    </w:p>
    <w:p w14:paraId="369D083E" w14:textId="00574860" w:rsidR="00172067" w:rsidRDefault="00CC71EC" w:rsidP="006A5929">
      <w:pPr>
        <w:pStyle w:val="CRCoverPage"/>
        <w:spacing w:after="0"/>
        <w:outlineLvl w:val="0"/>
        <w:rPr>
          <w:b/>
          <w:noProof/>
          <w:sz w:val="24"/>
        </w:rPr>
      </w:pPr>
      <w:r>
        <w:rPr>
          <w:b/>
          <w:bCs/>
          <w:noProof/>
          <w:sz w:val="22"/>
          <w:lang w:eastAsia="zh-CN"/>
        </w:rPr>
        <w:t>Reno</w:t>
      </w:r>
      <w:r w:rsidR="00172067">
        <w:rPr>
          <w:b/>
          <w:bCs/>
          <w:noProof/>
          <w:sz w:val="22"/>
          <w:lang w:eastAsia="zh-CN"/>
        </w:rPr>
        <w:t xml:space="preserve">, </w:t>
      </w:r>
      <w:r>
        <w:rPr>
          <w:b/>
          <w:bCs/>
          <w:noProof/>
          <w:sz w:val="22"/>
          <w:lang w:eastAsia="zh-CN"/>
        </w:rPr>
        <w:t>Nevada USA</w:t>
      </w:r>
      <w:r w:rsidR="00172067">
        <w:rPr>
          <w:b/>
          <w:bCs/>
          <w:noProof/>
          <w:sz w:val="22"/>
          <w:lang w:eastAsia="zh-CN"/>
        </w:rPr>
        <w:t xml:space="preserve">, </w:t>
      </w:r>
      <w:r>
        <w:rPr>
          <w:b/>
          <w:bCs/>
          <w:noProof/>
          <w:sz w:val="22"/>
          <w:lang w:eastAsia="zh-CN"/>
        </w:rPr>
        <w:t>13</w:t>
      </w:r>
      <w:r w:rsidR="00172067">
        <w:rPr>
          <w:b/>
          <w:bCs/>
          <w:noProof/>
          <w:sz w:val="22"/>
          <w:lang w:eastAsia="zh-CN"/>
        </w:rPr>
        <w:t>th – 1</w:t>
      </w:r>
      <w:r>
        <w:rPr>
          <w:b/>
          <w:bCs/>
          <w:noProof/>
          <w:sz w:val="22"/>
          <w:lang w:eastAsia="zh-CN"/>
        </w:rPr>
        <w:t>7</w:t>
      </w:r>
      <w:r w:rsidR="00172067">
        <w:rPr>
          <w:b/>
          <w:bCs/>
          <w:noProof/>
          <w:sz w:val="22"/>
          <w:lang w:eastAsia="zh-CN"/>
        </w:rPr>
        <w:t xml:space="preserve">th </w:t>
      </w:r>
      <w:r>
        <w:rPr>
          <w:b/>
          <w:bCs/>
          <w:noProof/>
          <w:sz w:val="22"/>
          <w:lang w:eastAsia="zh-CN"/>
        </w:rPr>
        <w:t>May</w:t>
      </w:r>
      <w:r w:rsidR="00172067">
        <w:rPr>
          <w:b/>
          <w:bCs/>
          <w:noProof/>
          <w:sz w:val="22"/>
          <w:lang w:eastAsia="zh-CN"/>
        </w:rPr>
        <w:t>l 2019</w:t>
      </w:r>
    </w:p>
    <w:p w14:paraId="17DA3CF8" w14:textId="77777777" w:rsidR="00DF0741" w:rsidRDefault="00DF0741" w:rsidP="00DF0741">
      <w:pPr>
        <w:tabs>
          <w:tab w:val="left" w:pos="1985"/>
        </w:tabs>
        <w:spacing w:after="0"/>
        <w:jc w:val="both"/>
        <w:rPr>
          <w:rFonts w:ascii="Arial" w:hAnsi="Arial" w:cs="Arial"/>
          <w:b/>
          <w:sz w:val="22"/>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0C922ACA"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370CA" w:rsidRPr="003370CA">
        <w:rPr>
          <w:rFonts w:cs="Arial"/>
          <w:sz w:val="22"/>
        </w:rPr>
        <w:t xml:space="preserve">Discussion on </w:t>
      </w:r>
      <w:r w:rsidR="003370CA">
        <w:rPr>
          <w:rFonts w:cs="Arial"/>
          <w:sz w:val="22"/>
        </w:rPr>
        <w:t>T</w:t>
      </w:r>
      <w:r w:rsidR="003370CA" w:rsidRPr="003370CA">
        <w:rPr>
          <w:rFonts w:cs="Arial"/>
          <w:sz w:val="22"/>
        </w:rPr>
        <w:t xml:space="preserve">ransient </w:t>
      </w:r>
      <w:r w:rsidR="003370CA">
        <w:rPr>
          <w:rFonts w:cs="Arial"/>
          <w:sz w:val="22"/>
        </w:rPr>
        <w:t>T</w:t>
      </w:r>
      <w:r w:rsidR="003370CA" w:rsidRPr="003370CA">
        <w:rPr>
          <w:rFonts w:cs="Arial"/>
          <w:sz w:val="22"/>
        </w:rPr>
        <w:t xml:space="preserve">ime </w:t>
      </w:r>
      <w:r w:rsidR="003370CA">
        <w:rPr>
          <w:rFonts w:cs="Arial"/>
          <w:sz w:val="22"/>
        </w:rPr>
        <w:t>R</w:t>
      </w:r>
      <w:r w:rsidR="003370CA" w:rsidRPr="003370CA">
        <w:rPr>
          <w:rFonts w:cs="Arial"/>
          <w:sz w:val="22"/>
        </w:rPr>
        <w:t xml:space="preserve">elated </w:t>
      </w:r>
      <w:r w:rsidR="003370CA">
        <w:rPr>
          <w:rFonts w:cs="Arial"/>
          <w:sz w:val="22"/>
        </w:rPr>
        <w:t>R</w:t>
      </w:r>
      <w:r w:rsidR="003370CA" w:rsidRPr="003370CA">
        <w:rPr>
          <w:rFonts w:cs="Arial"/>
          <w:sz w:val="22"/>
        </w:rPr>
        <w:t xml:space="preserve">equirements and </w:t>
      </w:r>
      <w:r w:rsidR="003370CA">
        <w:rPr>
          <w:rFonts w:cs="Arial"/>
          <w:sz w:val="22"/>
        </w:rPr>
        <w:t>T</w:t>
      </w:r>
      <w:r w:rsidR="003370CA" w:rsidRPr="003370CA">
        <w:rPr>
          <w:rFonts w:cs="Arial"/>
          <w:sz w:val="22"/>
        </w:rPr>
        <w:t>ests</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7C8A53EC"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4F0AD8" w:rsidRPr="004F0AD8">
        <w:rPr>
          <w:rFonts w:ascii="Arial" w:eastAsia="SimSun" w:hAnsi="Arial" w:cs="Arial"/>
          <w:sz w:val="22"/>
          <w:lang w:eastAsia="zh-CN"/>
        </w:rPr>
        <w:t>6.5.5.7</w:t>
      </w:r>
      <w:r w:rsidR="004F0AD8">
        <w:rPr>
          <w:rFonts w:ascii="Arial" w:eastAsia="SimSun" w:hAnsi="Arial" w:cs="Arial"/>
          <w:sz w:val="22"/>
          <w:lang w:eastAsia="zh-CN"/>
        </w:rPr>
        <w:t xml:space="preserve"> </w:t>
      </w:r>
      <w:r w:rsidR="004F0AD8" w:rsidRPr="004F0AD8">
        <w:rPr>
          <w:rFonts w:ascii="Arial" w:eastAsia="SimSun" w:hAnsi="Arial" w:cs="Arial"/>
          <w:sz w:val="22"/>
          <w:lang w:eastAsia="zh-CN"/>
        </w:rPr>
        <w:t>Transient pe</w:t>
      </w:r>
      <w:r w:rsidR="004F0AD8">
        <w:rPr>
          <w:rFonts w:ascii="Arial" w:eastAsia="SimSun" w:hAnsi="Arial" w:cs="Arial"/>
          <w:sz w:val="22"/>
          <w:lang w:eastAsia="zh-CN"/>
        </w:rPr>
        <w:t>riod capability [</w:t>
      </w:r>
      <w:proofErr w:type="spellStart"/>
      <w:r w:rsidR="004F0AD8">
        <w:rPr>
          <w:rFonts w:ascii="Arial" w:eastAsia="SimSun" w:hAnsi="Arial" w:cs="Arial"/>
          <w:sz w:val="22"/>
          <w:lang w:eastAsia="zh-CN"/>
        </w:rPr>
        <w:t>NR_newRAT</w:t>
      </w:r>
      <w:proofErr w:type="spellEnd"/>
      <w:r w:rsidR="004F0AD8">
        <w:rPr>
          <w:rFonts w:ascii="Arial" w:eastAsia="SimSun" w:hAnsi="Arial" w:cs="Arial"/>
          <w:sz w:val="22"/>
          <w:lang w:eastAsia="zh-CN"/>
        </w:rPr>
        <w:t>-Core</w:t>
      </w:r>
      <w:r w:rsidR="00B51B80" w:rsidRPr="00B51B80">
        <w:rPr>
          <w:rFonts w:ascii="Arial" w:eastAsia="SimSun" w:hAnsi="Arial" w:cs="Arial"/>
          <w:sz w:val="22"/>
          <w:lang w:eastAsia="zh-CN"/>
        </w:rPr>
        <w:t>]</w:t>
      </w:r>
    </w:p>
    <w:p w14:paraId="2E5C6AEA" w14:textId="0ED02B3E"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80941">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2712A837" w:rsidR="00577141" w:rsidRPr="00266639" w:rsidRDefault="00730829" w:rsidP="00577141">
      <w:pPr>
        <w:overflowPunct/>
        <w:autoSpaceDE/>
        <w:autoSpaceDN/>
        <w:adjustRightInd/>
        <w:spacing w:after="0"/>
        <w:jc w:val="both"/>
        <w:textAlignment w:val="auto"/>
        <w:rPr>
          <w:rFonts w:eastAsia="SimSun"/>
          <w:lang w:eastAsia="zh-CN"/>
        </w:rPr>
      </w:pPr>
      <w:r>
        <w:rPr>
          <w:rFonts w:eastAsia="SimSun"/>
          <w:lang w:eastAsia="zh-CN"/>
        </w:rPr>
        <w:t>In RAN</w:t>
      </w:r>
      <w:r w:rsidR="001B71E9">
        <w:rPr>
          <w:rFonts w:eastAsia="SimSun"/>
          <w:lang w:eastAsia="zh-CN"/>
        </w:rPr>
        <w:t>4</w:t>
      </w:r>
      <w:r>
        <w:rPr>
          <w:rFonts w:eastAsia="SimSun"/>
          <w:lang w:eastAsia="zh-CN"/>
        </w:rPr>
        <w:t>#9</w:t>
      </w:r>
      <w:r w:rsidR="001B71E9">
        <w:rPr>
          <w:rFonts w:eastAsia="SimSun"/>
          <w:lang w:eastAsia="zh-CN"/>
        </w:rPr>
        <w:t>0</w:t>
      </w:r>
      <w:r w:rsidR="00C1074A">
        <w:rPr>
          <w:rFonts w:eastAsia="SimSun"/>
          <w:lang w:eastAsia="zh-CN"/>
        </w:rPr>
        <w:t>b</w:t>
      </w:r>
      <w:r w:rsidR="004236AE">
        <w:rPr>
          <w:rFonts w:eastAsia="SimSun"/>
          <w:lang w:eastAsia="zh-CN"/>
        </w:rPr>
        <w:t xml:space="preserve">, a </w:t>
      </w:r>
      <w:r w:rsidR="005D0F83">
        <w:rPr>
          <w:rFonts w:eastAsia="SimSun"/>
          <w:lang w:eastAsia="zh-CN"/>
        </w:rPr>
        <w:t>way forward was agreed [</w:t>
      </w:r>
      <w:r w:rsidR="00F62B7B">
        <w:rPr>
          <w:rFonts w:eastAsia="SimSun"/>
          <w:lang w:eastAsia="zh-CN"/>
        </w:rPr>
        <w:t>6] to provide input on transient period definition, related requirements and conformance testing. In this contribution, we provide some elements toward this.</w:t>
      </w:r>
    </w:p>
    <w:p w14:paraId="37D8384F" w14:textId="77777777" w:rsidR="00C6186D" w:rsidRDefault="00853ECB" w:rsidP="00D3489B">
      <w:pPr>
        <w:pStyle w:val="Heading1"/>
        <w:jc w:val="both"/>
        <w:rPr>
          <w:rFonts w:eastAsia="SimSun"/>
          <w:lang w:eastAsia="zh-CN"/>
        </w:rPr>
      </w:pPr>
      <w:r>
        <w:rPr>
          <w:rFonts w:eastAsia="SimSun" w:hint="eastAsia"/>
          <w:lang w:eastAsia="zh-CN"/>
        </w:rPr>
        <w:t>Discussion</w:t>
      </w:r>
    </w:p>
    <w:p w14:paraId="11FE3ED6" w14:textId="66ED8576" w:rsidR="009C795D" w:rsidRDefault="00F62B7B" w:rsidP="00C34670">
      <w:pPr>
        <w:spacing w:after="0"/>
        <w:jc w:val="both"/>
      </w:pPr>
      <w:r>
        <w:t>The way forward on transient period [1] from RAN4#90b is “</w:t>
      </w:r>
      <w:r w:rsidRPr="00F62B7B">
        <w:t>Companies are encouraged to propose a definition for transient time and show how it can be tested</w:t>
      </w:r>
      <w:r>
        <w:t>”</w:t>
      </w:r>
    </w:p>
    <w:p w14:paraId="4125ECF7" w14:textId="77777777" w:rsidR="00F62B7B" w:rsidRDefault="00F62B7B" w:rsidP="00C34670">
      <w:pPr>
        <w:spacing w:after="0"/>
        <w:jc w:val="both"/>
      </w:pPr>
    </w:p>
    <w:p w14:paraId="67008530" w14:textId="6FB42548" w:rsidR="00F62B7B" w:rsidRDefault="00F62B7B" w:rsidP="00C34670">
      <w:pPr>
        <w:spacing w:after="0"/>
        <w:jc w:val="both"/>
      </w:pPr>
      <w:r>
        <w:t>In order</w:t>
      </w:r>
      <w:r w:rsidR="000E35AD">
        <w:t xml:space="preserve"> to discuss this in more detail,</w:t>
      </w:r>
      <w:r>
        <w:t xml:space="preserve"> it is useful to summarize the different contributions that were provided:</w:t>
      </w:r>
    </w:p>
    <w:p w14:paraId="2C775528" w14:textId="656CC2B6" w:rsidR="00F62B7B" w:rsidRDefault="00F62B7B" w:rsidP="00F62B7B">
      <w:pPr>
        <w:pStyle w:val="ListParagraph"/>
        <w:numPr>
          <w:ilvl w:val="0"/>
          <w:numId w:val="18"/>
        </w:numPr>
        <w:spacing w:after="0"/>
        <w:jc w:val="both"/>
      </w:pPr>
      <w:r>
        <w:t>In [1]</w:t>
      </w:r>
      <w:r w:rsidR="00B15B92">
        <w:t>,</w:t>
      </w:r>
      <w:r>
        <w:t xml:space="preserve"> option</w:t>
      </w:r>
      <w:r w:rsidR="00B15B92">
        <w:t>s</w:t>
      </w:r>
      <w:r>
        <w:t xml:space="preserve"> </w:t>
      </w:r>
      <w:r w:rsidR="00B15B92">
        <w:t>for</w:t>
      </w:r>
      <w:r>
        <w:t xml:space="preserve"> shorte</w:t>
      </w:r>
      <w:r w:rsidR="00213058">
        <w:t>r</w:t>
      </w:r>
      <w:r>
        <w:t xml:space="preserve"> transient periods </w:t>
      </w:r>
      <w:r w:rsidR="00B15B92">
        <w:t>for On to ON and SRS antenna switching were proposed based on values that would have a significant impact by avoiding to blank symbols. It was not an attempt at defining transient period</w:t>
      </w:r>
    </w:p>
    <w:p w14:paraId="7EB74A6F" w14:textId="293F5E4C" w:rsidR="00B15B92" w:rsidRDefault="00B15B92" w:rsidP="00F62B7B">
      <w:pPr>
        <w:pStyle w:val="ListParagraph"/>
        <w:numPr>
          <w:ilvl w:val="0"/>
          <w:numId w:val="18"/>
        </w:numPr>
        <w:spacing w:after="0"/>
        <w:jc w:val="both"/>
      </w:pPr>
      <w:r>
        <w:t xml:space="preserve">In [2] and [3], ramp up time for output power were provided but showing </w:t>
      </w:r>
      <w:proofErr w:type="spellStart"/>
      <w:r>
        <w:t>dBm</w:t>
      </w:r>
      <w:proofErr w:type="spellEnd"/>
      <w:r>
        <w:t xml:space="preserve"> power settling w</w:t>
      </w:r>
      <w:r w:rsidR="00213058">
        <w:t>ithout</w:t>
      </w:r>
      <w:r>
        <w:t xml:space="preserve"> being able to qualify the signal accuracy after the quote</w:t>
      </w:r>
      <w:r w:rsidR="00213058">
        <w:t>d</w:t>
      </w:r>
      <w:r>
        <w:t xml:space="preserve"> transient period</w:t>
      </w:r>
    </w:p>
    <w:p w14:paraId="2F6F8BA2" w14:textId="4613317C" w:rsidR="00B15B92" w:rsidRDefault="00B15B92" w:rsidP="00F62B7B">
      <w:pPr>
        <w:pStyle w:val="ListParagraph"/>
        <w:numPr>
          <w:ilvl w:val="0"/>
          <w:numId w:val="18"/>
        </w:numPr>
        <w:spacing w:after="0"/>
        <w:jc w:val="both"/>
      </w:pPr>
      <w:r>
        <w:t>In [4] and [5]</w:t>
      </w:r>
      <w:r w:rsidR="000E35AD">
        <w:t>,</w:t>
      </w:r>
      <w:r w:rsidR="001858BC">
        <w:t xml:space="preserve"> the impact of the transient time and the benefit of smaller transient time is discussed, if there </w:t>
      </w:r>
      <w:r w:rsidR="000E35AD">
        <w:t>are</w:t>
      </w:r>
      <w:r w:rsidR="001858BC">
        <w:t xml:space="preserve"> some questions whether the improvement is properly compared to the “normal” UE behavior, at least the cases where some improvement is visible is for higher order modulation.</w:t>
      </w:r>
    </w:p>
    <w:p w14:paraId="03D4BFA8" w14:textId="77777777" w:rsidR="00F62B7B" w:rsidRDefault="00F62B7B" w:rsidP="00C34670">
      <w:pPr>
        <w:spacing w:after="0"/>
        <w:jc w:val="both"/>
        <w:rPr>
          <w:b/>
        </w:rPr>
      </w:pPr>
    </w:p>
    <w:p w14:paraId="466BDE33" w14:textId="1248728A" w:rsidR="001858BC" w:rsidRDefault="001858BC" w:rsidP="00C34670">
      <w:pPr>
        <w:spacing w:after="0"/>
        <w:jc w:val="both"/>
        <w:rPr>
          <w:b/>
        </w:rPr>
      </w:pPr>
      <w:r w:rsidRPr="001858BC">
        <w:rPr>
          <w:b/>
        </w:rPr>
        <w:t>Observation</w:t>
      </w:r>
      <w:r w:rsidR="004F3131">
        <w:rPr>
          <w:b/>
        </w:rPr>
        <w:t xml:space="preserve"> 1</w:t>
      </w:r>
      <w:r w:rsidRPr="001858BC">
        <w:rPr>
          <w:b/>
        </w:rPr>
        <w:t xml:space="preserve">: </w:t>
      </w:r>
      <w:r w:rsidR="000E35AD">
        <w:rPr>
          <w:b/>
        </w:rPr>
        <w:t>S</w:t>
      </w:r>
      <w:r w:rsidRPr="001858BC">
        <w:rPr>
          <w:b/>
        </w:rPr>
        <w:t>ummarizing the papers, the key aspect of why sma</w:t>
      </w:r>
      <w:r w:rsidR="000E35AD">
        <w:rPr>
          <w:b/>
        </w:rPr>
        <w:t>ller transient is of interest</w:t>
      </w:r>
      <w:r w:rsidRPr="001858BC">
        <w:rPr>
          <w:b/>
        </w:rPr>
        <w:t xml:space="preserve"> for cases where high order modulation is used or when blanked symbols can be avoided. Another way to look at this result is also to say that the benefit comes when high symbol SNR at the BS i</w:t>
      </w:r>
      <w:r w:rsidR="00D47D70">
        <w:rPr>
          <w:b/>
        </w:rPr>
        <w:t xml:space="preserve">s needed or latency is critical which are </w:t>
      </w:r>
      <w:proofErr w:type="gramStart"/>
      <w:r w:rsidR="00D47D70">
        <w:rPr>
          <w:b/>
        </w:rPr>
        <w:t>key</w:t>
      </w:r>
      <w:proofErr w:type="gramEnd"/>
      <w:r w:rsidR="00D47D70">
        <w:rPr>
          <w:b/>
        </w:rPr>
        <w:t xml:space="preserve"> for </w:t>
      </w:r>
      <w:proofErr w:type="spellStart"/>
      <w:r w:rsidR="00D47D70">
        <w:rPr>
          <w:b/>
        </w:rPr>
        <w:t>uRLLC</w:t>
      </w:r>
      <w:proofErr w:type="spellEnd"/>
      <w:r w:rsidR="00D47D70">
        <w:rPr>
          <w:b/>
        </w:rPr>
        <w:t xml:space="preserve"> and potentially NR-V2X, NR-U and any high SCS link (FR1And FR2).</w:t>
      </w:r>
    </w:p>
    <w:p w14:paraId="0D9908CE" w14:textId="77777777" w:rsidR="00D47D70" w:rsidRPr="00D47D70" w:rsidRDefault="00D47D70" w:rsidP="00C34670">
      <w:pPr>
        <w:spacing w:after="0"/>
        <w:jc w:val="both"/>
      </w:pPr>
    </w:p>
    <w:p w14:paraId="10662F39" w14:textId="4AF320AF" w:rsidR="00D47D70" w:rsidRPr="00D47D70" w:rsidRDefault="00D47D70" w:rsidP="00C34670">
      <w:pPr>
        <w:spacing w:after="0"/>
        <w:jc w:val="both"/>
      </w:pPr>
      <w:r w:rsidRPr="00D47D70">
        <w:t xml:space="preserve">This is why we believe it is still worth </w:t>
      </w:r>
      <w:r>
        <w:t>studying improvements of the transient period in Release 16 for those use cases.</w:t>
      </w:r>
    </w:p>
    <w:p w14:paraId="594E79FA" w14:textId="11DADA55" w:rsidR="00033473" w:rsidRDefault="00D47D70" w:rsidP="00033473">
      <w:pPr>
        <w:pStyle w:val="Heading2"/>
        <w:spacing w:after="240"/>
        <w:rPr>
          <w:sz w:val="36"/>
          <w:lang w:val="en-US"/>
        </w:rPr>
      </w:pPr>
      <w:r>
        <w:rPr>
          <w:sz w:val="36"/>
          <w:lang w:val="en-US"/>
        </w:rPr>
        <w:t>Key Requirement to Drive Transient Period Definition</w:t>
      </w:r>
    </w:p>
    <w:p w14:paraId="3709833B" w14:textId="4FBBB116" w:rsidR="00230B96" w:rsidRDefault="00D47D70" w:rsidP="0035057F">
      <w:pPr>
        <w:tabs>
          <w:tab w:val="left" w:pos="5103"/>
        </w:tabs>
        <w:spacing w:after="0"/>
        <w:jc w:val="both"/>
      </w:pPr>
      <w:r>
        <w:t>In general terms the requirement related to any transient period should be that the UE fulfils all mandatory and optional requirements it declares capability for outside the transient periods. That goes way beyond just a power ramp but covers in band and out of band emission, power level and power step accuracy</w:t>
      </w:r>
      <w:r w:rsidR="000E35AD">
        <w:t>.</w:t>
      </w:r>
    </w:p>
    <w:p w14:paraId="6C39AB9E" w14:textId="77777777" w:rsidR="00D47D70" w:rsidRDefault="00D47D70" w:rsidP="0035057F">
      <w:pPr>
        <w:tabs>
          <w:tab w:val="left" w:pos="5103"/>
        </w:tabs>
        <w:spacing w:after="0"/>
        <w:jc w:val="both"/>
      </w:pPr>
    </w:p>
    <w:p w14:paraId="7B79C8A0" w14:textId="5607A824" w:rsidR="00D47D70" w:rsidRDefault="00D47D70" w:rsidP="0035057F">
      <w:pPr>
        <w:tabs>
          <w:tab w:val="left" w:pos="5103"/>
        </w:tabs>
        <w:spacing w:after="0"/>
        <w:jc w:val="both"/>
      </w:pPr>
      <w:r>
        <w:t>If we now focus on where transient time has the largest impact beyond avoiding symbol blanking, we are mainly talking about having best possible allocated RBs SNR outside the transient period which can be qualified by EVM measurements.</w:t>
      </w:r>
    </w:p>
    <w:p w14:paraId="3B17B855" w14:textId="77777777" w:rsidR="00D47D70" w:rsidRDefault="00D47D70" w:rsidP="0035057F">
      <w:pPr>
        <w:tabs>
          <w:tab w:val="left" w:pos="5103"/>
        </w:tabs>
        <w:spacing w:after="0"/>
        <w:jc w:val="both"/>
      </w:pPr>
    </w:p>
    <w:p w14:paraId="6D6710C7" w14:textId="0F45C471" w:rsidR="00D47D70" w:rsidRPr="004F3131" w:rsidRDefault="00D47D70" w:rsidP="0035057F">
      <w:pPr>
        <w:tabs>
          <w:tab w:val="left" w:pos="5103"/>
        </w:tabs>
        <w:spacing w:after="0"/>
        <w:jc w:val="both"/>
      </w:pPr>
      <w:r w:rsidRPr="004F3131">
        <w:t xml:space="preserve">With that approach we can formulate </w:t>
      </w:r>
      <w:r w:rsidR="00213058">
        <w:t>an</w:t>
      </w:r>
      <w:r w:rsidRPr="004F3131">
        <w:t xml:space="preserve"> indirect definition of transient period: </w:t>
      </w:r>
      <w:r w:rsidR="004F3131" w:rsidRPr="004F3131">
        <w:t>The UE must fulfill the EVM and in</w:t>
      </w:r>
      <w:r w:rsidR="000E35AD">
        <w:t>-</w:t>
      </w:r>
      <w:r w:rsidR="00213058">
        <w:t>b</w:t>
      </w:r>
      <w:r w:rsidR="004F3131" w:rsidRPr="004F3131">
        <w:t xml:space="preserve">and emissions </w:t>
      </w:r>
      <w:r w:rsidR="00213058">
        <w:t xml:space="preserve">at the highest modulation order </w:t>
      </w:r>
      <w:r w:rsidR="004F3131" w:rsidRPr="004F3131">
        <w:t>it declares support for outside the default or optional transient period it supports.</w:t>
      </w:r>
    </w:p>
    <w:p w14:paraId="458104DC" w14:textId="77777777" w:rsidR="004F3131" w:rsidRDefault="004F3131" w:rsidP="0035057F">
      <w:pPr>
        <w:tabs>
          <w:tab w:val="left" w:pos="5103"/>
        </w:tabs>
        <w:spacing w:after="0"/>
        <w:jc w:val="both"/>
        <w:rPr>
          <w:b/>
        </w:rPr>
      </w:pPr>
    </w:p>
    <w:p w14:paraId="01A44F48" w14:textId="7BA55BC7" w:rsidR="004F3131" w:rsidRPr="004F3131" w:rsidRDefault="004F3131" w:rsidP="0035057F">
      <w:pPr>
        <w:tabs>
          <w:tab w:val="left" w:pos="5103"/>
        </w:tabs>
        <w:spacing w:after="0"/>
        <w:jc w:val="both"/>
        <w:rPr>
          <w:b/>
        </w:rPr>
      </w:pPr>
      <w:r>
        <w:rPr>
          <w:b/>
        </w:rPr>
        <w:t>Observation 2: In baseline case, UE needs to comply with specified IBE and EVM for 64 QAM and optionally with EVM and IBE for 256QAM outside the transient period the UE supports</w:t>
      </w:r>
      <w:r w:rsidR="0090177C">
        <w:rPr>
          <w:b/>
        </w:rPr>
        <w:t xml:space="preserve"> at the highest </w:t>
      </w:r>
      <w:r w:rsidR="0090177C">
        <w:rPr>
          <w:b/>
        </w:rPr>
        <w:lastRenderedPageBreak/>
        <w:t>supported SCS</w:t>
      </w:r>
      <w:r>
        <w:rPr>
          <w:b/>
        </w:rPr>
        <w:t>. This can be used as a definition and opens ways to test UEs having different transient period capabilities.</w:t>
      </w:r>
    </w:p>
    <w:p w14:paraId="4F9C5097" w14:textId="3EC56F48" w:rsidR="004F3131" w:rsidRDefault="004F3131" w:rsidP="004F3131">
      <w:pPr>
        <w:pStyle w:val="Heading2"/>
        <w:spacing w:after="240"/>
        <w:rPr>
          <w:sz w:val="36"/>
          <w:lang w:val="en-US"/>
        </w:rPr>
      </w:pPr>
      <w:r>
        <w:rPr>
          <w:sz w:val="36"/>
          <w:lang w:val="en-US"/>
        </w:rPr>
        <w:t>Transient Period Testing</w:t>
      </w:r>
    </w:p>
    <w:p w14:paraId="374B05E8" w14:textId="184EB4FE" w:rsidR="004F3131" w:rsidRDefault="004F3131" w:rsidP="003434DB">
      <w:pPr>
        <w:jc w:val="both"/>
      </w:pPr>
      <w:r>
        <w:t xml:space="preserve">As discussed above, an indirect definition of the transient period enables </w:t>
      </w:r>
      <w:r w:rsidR="003434DB">
        <w:t>a direct path to testing as conformance would only mean that EVM and IBE is met outside the default or declared transient period for the highest order modulation supported by the UE. In order to do this</w:t>
      </w:r>
      <w:r w:rsidR="000E35AD">
        <w:t>,</w:t>
      </w:r>
      <w:r w:rsidR="003434DB">
        <w:t xml:space="preserve"> two pattern</w:t>
      </w:r>
      <w:r w:rsidR="000E35AD">
        <w:t>s</w:t>
      </w:r>
      <w:r w:rsidR="003434DB">
        <w:t xml:space="preserve"> could be designed with a large number of ON-ON or SRS antenna switching transitions where EVM and IBE are measured with blanking the samples that corresponds to the declared transient period.</w:t>
      </w:r>
    </w:p>
    <w:p w14:paraId="0F5B84FA" w14:textId="0A1E384F" w:rsidR="003434DB" w:rsidRDefault="003434DB" w:rsidP="003434DB">
      <w:pPr>
        <w:jc w:val="both"/>
      </w:pPr>
      <w:r>
        <w:t>Since it would still be questionable whether UEs declaring better transient period are actually better than the default UEs the test could be performed with and without blanking and verify that the test is failed without it. This should be feasible if the test pattern has a transition every symbol for example.</w:t>
      </w:r>
    </w:p>
    <w:p w14:paraId="4462F608" w14:textId="4EA43206" w:rsidR="003434DB" w:rsidRDefault="003434DB" w:rsidP="003434DB">
      <w:pPr>
        <w:jc w:val="both"/>
      </w:pPr>
      <w:r>
        <w:t>To make sure that the problem and compliance is bounded the ON-ON pattern could be designed with a number of power steps and have a maximum power step size to be defined.</w:t>
      </w:r>
    </w:p>
    <w:p w14:paraId="3E0B32AF" w14:textId="1E822582" w:rsidR="003434DB" w:rsidRDefault="003434DB" w:rsidP="003434DB">
      <w:pPr>
        <w:jc w:val="both"/>
      </w:pPr>
      <w:r>
        <w:t xml:space="preserve">For the </w:t>
      </w:r>
      <w:r w:rsidR="0090177C">
        <w:t>SRS antenna switching</w:t>
      </w:r>
      <w:r w:rsidR="000E35AD">
        <w:t>,</w:t>
      </w:r>
      <w:r w:rsidR="0090177C">
        <w:t xml:space="preserve"> the test pattern can be further adapted to blank symbols only when the declared or default transient period becomes too large compared to CP length.</w:t>
      </w:r>
    </w:p>
    <w:p w14:paraId="4BE03826" w14:textId="60D09233" w:rsidR="003434DB" w:rsidRPr="003434DB" w:rsidRDefault="003434DB" w:rsidP="003434DB">
      <w:pPr>
        <w:jc w:val="both"/>
        <w:rPr>
          <w:b/>
        </w:rPr>
      </w:pPr>
      <w:r w:rsidRPr="003434DB">
        <w:rPr>
          <w:b/>
        </w:rPr>
        <w:t xml:space="preserve">Observation 3: </w:t>
      </w:r>
      <w:r w:rsidR="000E35AD">
        <w:rPr>
          <w:b/>
        </w:rPr>
        <w:t>I</w:t>
      </w:r>
      <w:r w:rsidRPr="003434DB">
        <w:rPr>
          <w:b/>
        </w:rPr>
        <w:t>t should be feasible to design test patterns with a large density of ON-ON or SRS antenna switching for which the IBE and EVM is measured with and without blanking the samples corresponding to the declared or default transient period.</w:t>
      </w:r>
      <w:bookmarkStart w:id="2" w:name="_GoBack"/>
      <w:bookmarkEnd w:id="2"/>
    </w:p>
    <w:p w14:paraId="4ACDD82E" w14:textId="77777777" w:rsidR="00F212B5" w:rsidRDefault="00F212B5" w:rsidP="00F212B5">
      <w:pPr>
        <w:pStyle w:val="Heading1"/>
      </w:pPr>
      <w:r>
        <w:t>Conclusions</w:t>
      </w:r>
    </w:p>
    <w:p w14:paraId="55EB40AA" w14:textId="5FA2E211" w:rsidR="00F212B5" w:rsidRDefault="00F212B5" w:rsidP="00F212B5">
      <w:pPr>
        <w:spacing w:after="0"/>
        <w:jc w:val="both"/>
      </w:pPr>
      <w:r>
        <w:t>In this contribution</w:t>
      </w:r>
      <w:r w:rsidR="00D10E34">
        <w:t>,</w:t>
      </w:r>
      <w:r>
        <w:t xml:space="preserve"> </w:t>
      </w:r>
      <w:r w:rsidR="004F3131">
        <w:t xml:space="preserve">following RAN4#90b WF on transient period </w:t>
      </w:r>
      <w:r w:rsidR="0024295C">
        <w:t xml:space="preserve">[1], </w:t>
      </w:r>
      <w:r w:rsidR="004F3131">
        <w:t xml:space="preserve">we offer a few observations for a further way forward on defining transient periods, and test compliance to declared transient period </w:t>
      </w:r>
      <w:r w:rsidR="00460B7E">
        <w:t>.</w:t>
      </w:r>
    </w:p>
    <w:p w14:paraId="3D1C9F70" w14:textId="77777777" w:rsidR="00F212B5" w:rsidRDefault="00F212B5" w:rsidP="00F212B5">
      <w:pPr>
        <w:spacing w:after="0"/>
        <w:jc w:val="both"/>
      </w:pPr>
    </w:p>
    <w:p w14:paraId="219924A4" w14:textId="77777777" w:rsidR="004F3131" w:rsidRDefault="004F3131" w:rsidP="004F3131">
      <w:pPr>
        <w:spacing w:after="0"/>
        <w:jc w:val="both"/>
        <w:rPr>
          <w:b/>
        </w:rPr>
      </w:pPr>
      <w:r w:rsidRPr="001858BC">
        <w:rPr>
          <w:b/>
        </w:rPr>
        <w:t>Observation</w:t>
      </w:r>
      <w:r>
        <w:rPr>
          <w:b/>
        </w:rPr>
        <w:t xml:space="preserve"> 1</w:t>
      </w:r>
      <w:r w:rsidRPr="001858BC">
        <w:rPr>
          <w:b/>
        </w:rPr>
        <w:t>: summarizing the papers, the key aspect of why smaller transient is of interest is for cases where high order modulation is used or when blanked symbols can be avoided. Another way to look at this result is also to say that the benefit comes when high in symbol SNR at the BS i</w:t>
      </w:r>
      <w:r>
        <w:rPr>
          <w:b/>
        </w:rPr>
        <w:t xml:space="preserve">s needed or latency is critical which are </w:t>
      </w:r>
      <w:proofErr w:type="gramStart"/>
      <w:r>
        <w:rPr>
          <w:b/>
        </w:rPr>
        <w:t>key</w:t>
      </w:r>
      <w:proofErr w:type="gramEnd"/>
      <w:r>
        <w:rPr>
          <w:b/>
        </w:rPr>
        <w:t xml:space="preserve"> for </w:t>
      </w:r>
      <w:proofErr w:type="spellStart"/>
      <w:r>
        <w:rPr>
          <w:b/>
        </w:rPr>
        <w:t>uRLLC</w:t>
      </w:r>
      <w:proofErr w:type="spellEnd"/>
      <w:r>
        <w:rPr>
          <w:b/>
        </w:rPr>
        <w:t xml:space="preserve"> and potentially NR-V2X, NR-U and any high SCS link (FR1And FR2).</w:t>
      </w:r>
    </w:p>
    <w:p w14:paraId="75EAB8CD" w14:textId="77777777" w:rsidR="003434DB" w:rsidRDefault="003434DB" w:rsidP="004F3131">
      <w:pPr>
        <w:spacing w:after="0"/>
        <w:jc w:val="both"/>
        <w:rPr>
          <w:b/>
        </w:rPr>
      </w:pPr>
    </w:p>
    <w:p w14:paraId="0034E2E2" w14:textId="77777777" w:rsidR="003434DB" w:rsidRPr="004F3131" w:rsidRDefault="003434DB" w:rsidP="003434DB">
      <w:pPr>
        <w:tabs>
          <w:tab w:val="left" w:pos="5103"/>
        </w:tabs>
        <w:spacing w:after="0"/>
        <w:jc w:val="both"/>
        <w:rPr>
          <w:b/>
        </w:rPr>
      </w:pPr>
      <w:r>
        <w:rPr>
          <w:b/>
        </w:rPr>
        <w:t>Observation 2: In baseline case, UE needs to comply with specified IBE and EVM for 64 QAM and optionally with EVM and IBE for 256QAM outside the transient period the UE supports. This can be used as a definition and opens ways to test UEs having different transient period capabilities.</w:t>
      </w:r>
    </w:p>
    <w:p w14:paraId="6C6B37A1" w14:textId="77777777" w:rsidR="003434DB" w:rsidRDefault="003434DB" w:rsidP="003434DB">
      <w:pPr>
        <w:spacing w:after="0"/>
        <w:jc w:val="both"/>
        <w:rPr>
          <w:b/>
        </w:rPr>
      </w:pPr>
    </w:p>
    <w:p w14:paraId="782C3663" w14:textId="77777777" w:rsidR="003434DB" w:rsidRPr="003434DB" w:rsidRDefault="003434DB" w:rsidP="003434DB">
      <w:pPr>
        <w:spacing w:after="0"/>
        <w:jc w:val="both"/>
        <w:rPr>
          <w:b/>
        </w:rPr>
      </w:pPr>
      <w:r w:rsidRPr="003434DB">
        <w:rPr>
          <w:b/>
        </w:rPr>
        <w:t>Observation 3: it should be feasible to design test patterns with a large density of ON-ON or SRS antenna switching for which the IBE and EVM is measured with and without blanking the samples corresponding to the declared or default transient period.</w:t>
      </w:r>
    </w:p>
    <w:p w14:paraId="03D6921F" w14:textId="77777777" w:rsidR="00F10F97" w:rsidRDefault="007321E3" w:rsidP="00C8525F">
      <w:pPr>
        <w:pStyle w:val="Heading1"/>
        <w:numPr>
          <w:ilvl w:val="0"/>
          <w:numId w:val="0"/>
        </w:numPr>
        <w:jc w:val="both"/>
      </w:pPr>
      <w:r>
        <w:t>R</w:t>
      </w:r>
      <w:r w:rsidR="00F10F97">
        <w:t>eferences</w:t>
      </w:r>
    </w:p>
    <w:p w14:paraId="54151BAE" w14:textId="047F7232" w:rsidR="008023D9" w:rsidRDefault="007B7056" w:rsidP="000620A7">
      <w:pPr>
        <w:jc w:val="both"/>
      </w:pPr>
      <w:r>
        <w:t>[1]</w:t>
      </w:r>
      <w:r w:rsidRPr="00ED2F28">
        <w:tab/>
      </w:r>
      <w:r w:rsidR="003370CA" w:rsidRPr="003370CA">
        <w:t>R4-1904343</w:t>
      </w:r>
      <w:r w:rsidR="003370CA">
        <w:t xml:space="preserve">, </w:t>
      </w:r>
      <w:r w:rsidR="003370CA" w:rsidRPr="003370CA">
        <w:t>Optional transient time capability signaling for REL-16 UEs</w:t>
      </w:r>
      <w:r w:rsidR="0017070D">
        <w:t>, Skyworks Solutions Inc., RAN4#90b</w:t>
      </w:r>
    </w:p>
    <w:p w14:paraId="284C9C3E" w14:textId="48018732" w:rsidR="003370CA" w:rsidRDefault="003370CA" w:rsidP="000620A7">
      <w:pPr>
        <w:jc w:val="both"/>
      </w:pPr>
      <w:r>
        <w:t xml:space="preserve">[2] </w:t>
      </w:r>
      <w:r w:rsidRPr="003370CA">
        <w:t>R4-1903098</w:t>
      </w:r>
      <w:r>
        <w:t xml:space="preserve">, </w:t>
      </w:r>
      <w:r w:rsidRPr="003370CA">
        <w:t>Transient period data on existing LTE phones</w:t>
      </w:r>
      <w:r>
        <w:t xml:space="preserve">, </w:t>
      </w:r>
      <w:r w:rsidRPr="003370CA">
        <w:t xml:space="preserve">Qualcomm </w:t>
      </w:r>
      <w:r>
        <w:t>Inc., RAN4#90b</w:t>
      </w:r>
    </w:p>
    <w:p w14:paraId="7C83C8CF" w14:textId="6014E45D" w:rsidR="005D0F83" w:rsidRDefault="005D0F83" w:rsidP="000620A7">
      <w:pPr>
        <w:jc w:val="both"/>
      </w:pPr>
      <w:r>
        <w:t xml:space="preserve">[3] </w:t>
      </w:r>
      <w:r w:rsidRPr="005D0F83">
        <w:t>R4-1904657</w:t>
      </w:r>
      <w:r>
        <w:t xml:space="preserve">, </w:t>
      </w:r>
      <w:r w:rsidRPr="005D0F83">
        <w:t>Measurement results for UE transient period</w:t>
      </w:r>
      <w:r>
        <w:t>, Vivo, RAN4#90b</w:t>
      </w:r>
    </w:p>
    <w:p w14:paraId="583DF442" w14:textId="4D912B21" w:rsidR="00F62B7B" w:rsidRDefault="00F62B7B" w:rsidP="000620A7">
      <w:pPr>
        <w:jc w:val="both"/>
      </w:pPr>
      <w:r>
        <w:rPr>
          <w:lang w:val="en-CA"/>
        </w:rPr>
        <w:t xml:space="preserve">[4] </w:t>
      </w:r>
      <w:r w:rsidRPr="00F62B7B">
        <w:rPr>
          <w:lang w:val="en-CA"/>
        </w:rPr>
        <w:t>R4-1904004</w:t>
      </w:r>
      <w:r>
        <w:rPr>
          <w:lang w:val="en-CA"/>
        </w:rPr>
        <w:t>,</w:t>
      </w:r>
      <w:r w:rsidRPr="00F62B7B">
        <w:rPr>
          <w:lang w:val="en-CA"/>
        </w:rPr>
        <w:tab/>
        <w:t xml:space="preserve">UE reporting supported transient time parameters - </w:t>
      </w:r>
      <w:proofErr w:type="spellStart"/>
      <w:r w:rsidRPr="00F62B7B">
        <w:rPr>
          <w:lang w:val="en-CA"/>
        </w:rPr>
        <w:t>gNB</w:t>
      </w:r>
      <w:proofErr w:type="spellEnd"/>
      <w:r w:rsidRPr="00F62B7B">
        <w:rPr>
          <w:lang w:val="en-CA"/>
        </w:rPr>
        <w:t xml:space="preserve"> usage</w:t>
      </w:r>
      <w:r>
        <w:t>, Ericsson, RAN4#90b</w:t>
      </w:r>
    </w:p>
    <w:p w14:paraId="55306A14" w14:textId="09BFF46F" w:rsidR="00F62B7B" w:rsidRPr="00F62B7B" w:rsidRDefault="00F62B7B" w:rsidP="000620A7">
      <w:pPr>
        <w:jc w:val="both"/>
        <w:rPr>
          <w:lang w:val="en-CA"/>
        </w:rPr>
      </w:pPr>
      <w:r>
        <w:t xml:space="preserve">[5] </w:t>
      </w:r>
      <w:r w:rsidRPr="00F62B7B">
        <w:t>R4-1904474</w:t>
      </w:r>
      <w:r>
        <w:t xml:space="preserve">, </w:t>
      </w:r>
      <w:r w:rsidRPr="00F62B7B">
        <w:t>on UE transient period evaluation</w:t>
      </w:r>
      <w:r>
        <w:t xml:space="preserve">, </w:t>
      </w:r>
      <w:r w:rsidRPr="00F62B7B">
        <w:t xml:space="preserve">Huawei, </w:t>
      </w:r>
      <w:proofErr w:type="spellStart"/>
      <w:r w:rsidRPr="00F62B7B">
        <w:t>HiSilicon</w:t>
      </w:r>
      <w:proofErr w:type="spellEnd"/>
      <w:r>
        <w:t>, RAN4#90b</w:t>
      </w:r>
    </w:p>
    <w:p w14:paraId="1F3E9316" w14:textId="3874945B" w:rsidR="003370CA" w:rsidRDefault="003370CA" w:rsidP="000620A7">
      <w:pPr>
        <w:jc w:val="both"/>
      </w:pPr>
      <w:r>
        <w:t>[</w:t>
      </w:r>
      <w:r w:rsidR="00F62B7B">
        <w:t>6</w:t>
      </w:r>
      <w:r>
        <w:t xml:space="preserve">] </w:t>
      </w:r>
      <w:r w:rsidRPr="003370CA">
        <w:t>R4-190</w:t>
      </w:r>
      <w:r>
        <w:t xml:space="preserve">5000, </w:t>
      </w:r>
      <w:r w:rsidRPr="003370CA">
        <w:t>WF on transient period capability</w:t>
      </w:r>
      <w:r>
        <w:t>,</w:t>
      </w:r>
      <w:r w:rsidRPr="003370CA">
        <w:t xml:space="preserve"> Qualcomm, Ericsson</w:t>
      </w:r>
      <w:r>
        <w:t>, RAN4#90b</w:t>
      </w:r>
    </w:p>
    <w:sectPr w:rsidR="003370CA" w:rsidSect="00CC71EC">
      <w:footerReference w:type="default" r:id="rId10"/>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048C6" w14:textId="77777777" w:rsidR="0076798A" w:rsidRDefault="0076798A">
      <w:r>
        <w:separator/>
      </w:r>
    </w:p>
  </w:endnote>
  <w:endnote w:type="continuationSeparator" w:id="0">
    <w:p w14:paraId="7E134970" w14:textId="77777777" w:rsidR="0076798A" w:rsidRDefault="00767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AF0927" w:rsidRDefault="00AF092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CA1AB" w14:textId="77777777" w:rsidR="0076798A" w:rsidRDefault="0076798A">
      <w:r>
        <w:separator/>
      </w:r>
    </w:p>
  </w:footnote>
  <w:footnote w:type="continuationSeparator" w:id="0">
    <w:p w14:paraId="4E1B23FD" w14:textId="77777777" w:rsidR="0076798A" w:rsidRDefault="007679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57863"/>
    <w:multiLevelType w:val="hybridMultilevel"/>
    <w:tmpl w:val="5C92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1BAD6373"/>
    <w:multiLevelType w:val="hybridMultilevel"/>
    <w:tmpl w:val="0F9E6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E23383"/>
    <w:multiLevelType w:val="hybridMultilevel"/>
    <w:tmpl w:val="EC80999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5">
    <w:nsid w:val="1E9D30DA"/>
    <w:multiLevelType w:val="hybridMultilevel"/>
    <w:tmpl w:val="A948D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B12690"/>
    <w:multiLevelType w:val="hybridMultilevel"/>
    <w:tmpl w:val="273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FA16AD"/>
    <w:multiLevelType w:val="hybridMultilevel"/>
    <w:tmpl w:val="3C5CE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0D901AD"/>
    <w:multiLevelType w:val="hybridMultilevel"/>
    <w:tmpl w:val="DC567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884F7D"/>
    <w:multiLevelType w:val="multilevel"/>
    <w:tmpl w:val="89DC50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554A43BA"/>
    <w:multiLevelType w:val="hybridMultilevel"/>
    <w:tmpl w:val="E0942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333A46"/>
    <w:multiLevelType w:val="hybridMultilevel"/>
    <w:tmpl w:val="90EAC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2"/>
  </w:num>
  <w:num w:numId="4">
    <w:abstractNumId w:val="17"/>
  </w:num>
  <w:num w:numId="5">
    <w:abstractNumId w:val="8"/>
  </w:num>
  <w:num w:numId="6">
    <w:abstractNumId w:val="1"/>
  </w:num>
  <w:num w:numId="7">
    <w:abstractNumId w:val="13"/>
  </w:num>
  <w:num w:numId="8">
    <w:abstractNumId w:val="16"/>
  </w:num>
  <w:num w:numId="9">
    <w:abstractNumId w:val="6"/>
  </w:num>
  <w:num w:numId="10">
    <w:abstractNumId w:val="11"/>
  </w:num>
  <w:num w:numId="11">
    <w:abstractNumId w:val="4"/>
  </w:num>
  <w:num w:numId="12">
    <w:abstractNumId w:val="0"/>
  </w:num>
  <w:num w:numId="13">
    <w:abstractNumId w:val="15"/>
  </w:num>
  <w:num w:numId="14">
    <w:abstractNumId w:val="14"/>
  </w:num>
  <w:num w:numId="15">
    <w:abstractNumId w:val="10"/>
  </w:num>
  <w:num w:numId="16">
    <w:abstractNumId w:val="3"/>
  </w:num>
  <w:num w:numId="17">
    <w:abstractNumId w:val="5"/>
  </w:num>
  <w:num w:numId="1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36B4"/>
    <w:rsid w:val="0000437E"/>
    <w:rsid w:val="000046FC"/>
    <w:rsid w:val="00004ECB"/>
    <w:rsid w:val="000052A1"/>
    <w:rsid w:val="0000549C"/>
    <w:rsid w:val="000059BB"/>
    <w:rsid w:val="000059D0"/>
    <w:rsid w:val="000063C5"/>
    <w:rsid w:val="00006F04"/>
    <w:rsid w:val="00007ADA"/>
    <w:rsid w:val="00010258"/>
    <w:rsid w:val="00010C4B"/>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1B8"/>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473"/>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50B9"/>
    <w:rsid w:val="00055559"/>
    <w:rsid w:val="00055AD9"/>
    <w:rsid w:val="00055BF6"/>
    <w:rsid w:val="00055CA7"/>
    <w:rsid w:val="00056CBD"/>
    <w:rsid w:val="00056FBF"/>
    <w:rsid w:val="00057835"/>
    <w:rsid w:val="0005796C"/>
    <w:rsid w:val="00057C66"/>
    <w:rsid w:val="00060226"/>
    <w:rsid w:val="00060B37"/>
    <w:rsid w:val="00060BCD"/>
    <w:rsid w:val="000620A7"/>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F33"/>
    <w:rsid w:val="00080C3A"/>
    <w:rsid w:val="00080E45"/>
    <w:rsid w:val="00081D13"/>
    <w:rsid w:val="00082230"/>
    <w:rsid w:val="0008285B"/>
    <w:rsid w:val="000834ED"/>
    <w:rsid w:val="00083DF5"/>
    <w:rsid w:val="000848C0"/>
    <w:rsid w:val="00084EFC"/>
    <w:rsid w:val="0008533D"/>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29D7"/>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A2C"/>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5AD"/>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806"/>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31AD"/>
    <w:rsid w:val="00123389"/>
    <w:rsid w:val="00123816"/>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3CA"/>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51FD"/>
    <w:rsid w:val="00155826"/>
    <w:rsid w:val="001562F2"/>
    <w:rsid w:val="00156BDC"/>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0D"/>
    <w:rsid w:val="00170710"/>
    <w:rsid w:val="00170A94"/>
    <w:rsid w:val="00170C6E"/>
    <w:rsid w:val="001713BB"/>
    <w:rsid w:val="0017170B"/>
    <w:rsid w:val="00171D17"/>
    <w:rsid w:val="00172067"/>
    <w:rsid w:val="00172515"/>
    <w:rsid w:val="001731F3"/>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8BC"/>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6522"/>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1E9"/>
    <w:rsid w:val="001B72DC"/>
    <w:rsid w:val="001B7AC7"/>
    <w:rsid w:val="001C03BA"/>
    <w:rsid w:val="001C073E"/>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048"/>
    <w:rsid w:val="001E5665"/>
    <w:rsid w:val="001E5D78"/>
    <w:rsid w:val="001E6112"/>
    <w:rsid w:val="001E6381"/>
    <w:rsid w:val="001E71A9"/>
    <w:rsid w:val="001E74A4"/>
    <w:rsid w:val="001E7D6A"/>
    <w:rsid w:val="001E7E6C"/>
    <w:rsid w:val="001F00E3"/>
    <w:rsid w:val="001F04C9"/>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091F"/>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0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1B9"/>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96"/>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295C"/>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52B"/>
    <w:rsid w:val="00271981"/>
    <w:rsid w:val="002719FD"/>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13B8"/>
    <w:rsid w:val="002915B7"/>
    <w:rsid w:val="00291E51"/>
    <w:rsid w:val="002923DB"/>
    <w:rsid w:val="002928F7"/>
    <w:rsid w:val="00292D6B"/>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A7CD0"/>
    <w:rsid w:val="002B06F2"/>
    <w:rsid w:val="002B07CF"/>
    <w:rsid w:val="002B15BA"/>
    <w:rsid w:val="002B1AD2"/>
    <w:rsid w:val="002B1F8F"/>
    <w:rsid w:val="002B2455"/>
    <w:rsid w:val="002B29C5"/>
    <w:rsid w:val="002B2E25"/>
    <w:rsid w:val="002B3705"/>
    <w:rsid w:val="002B3C17"/>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2623"/>
    <w:rsid w:val="002E3C54"/>
    <w:rsid w:val="002E5882"/>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951"/>
    <w:rsid w:val="00336A6D"/>
    <w:rsid w:val="00336A98"/>
    <w:rsid w:val="003370CA"/>
    <w:rsid w:val="0033723D"/>
    <w:rsid w:val="0033755F"/>
    <w:rsid w:val="0033783A"/>
    <w:rsid w:val="00340B71"/>
    <w:rsid w:val="00340CE5"/>
    <w:rsid w:val="00340EBF"/>
    <w:rsid w:val="00340EDD"/>
    <w:rsid w:val="00341459"/>
    <w:rsid w:val="003414D9"/>
    <w:rsid w:val="003418C2"/>
    <w:rsid w:val="00341ADA"/>
    <w:rsid w:val="00341FE7"/>
    <w:rsid w:val="0034251A"/>
    <w:rsid w:val="00343205"/>
    <w:rsid w:val="003432BA"/>
    <w:rsid w:val="003432ED"/>
    <w:rsid w:val="00343405"/>
    <w:rsid w:val="003434DB"/>
    <w:rsid w:val="00343585"/>
    <w:rsid w:val="003442A2"/>
    <w:rsid w:val="003442B0"/>
    <w:rsid w:val="003446BA"/>
    <w:rsid w:val="00344BAD"/>
    <w:rsid w:val="00344DAD"/>
    <w:rsid w:val="003458B4"/>
    <w:rsid w:val="00345E5B"/>
    <w:rsid w:val="00345F39"/>
    <w:rsid w:val="0034618E"/>
    <w:rsid w:val="003465C1"/>
    <w:rsid w:val="003467EC"/>
    <w:rsid w:val="00346F30"/>
    <w:rsid w:val="003475CD"/>
    <w:rsid w:val="00347818"/>
    <w:rsid w:val="00350393"/>
    <w:rsid w:val="0035057F"/>
    <w:rsid w:val="00350E88"/>
    <w:rsid w:val="00350F2A"/>
    <w:rsid w:val="00351204"/>
    <w:rsid w:val="00351816"/>
    <w:rsid w:val="00351D18"/>
    <w:rsid w:val="003527B2"/>
    <w:rsid w:val="003529B8"/>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C0D"/>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3AB4"/>
    <w:rsid w:val="00384028"/>
    <w:rsid w:val="003842BC"/>
    <w:rsid w:val="003846FC"/>
    <w:rsid w:val="00384F78"/>
    <w:rsid w:val="00385464"/>
    <w:rsid w:val="00386013"/>
    <w:rsid w:val="003862FF"/>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48DC"/>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5C7"/>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6AE"/>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356"/>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0B7E"/>
    <w:rsid w:val="00461450"/>
    <w:rsid w:val="00461C89"/>
    <w:rsid w:val="00461D1B"/>
    <w:rsid w:val="00461DBE"/>
    <w:rsid w:val="004622F2"/>
    <w:rsid w:val="00462353"/>
    <w:rsid w:val="004625F7"/>
    <w:rsid w:val="00462940"/>
    <w:rsid w:val="004631AC"/>
    <w:rsid w:val="0046373E"/>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70F"/>
    <w:rsid w:val="004B17EB"/>
    <w:rsid w:val="004B1BF1"/>
    <w:rsid w:val="004B1D2E"/>
    <w:rsid w:val="004B1D66"/>
    <w:rsid w:val="004B1EEB"/>
    <w:rsid w:val="004B1F64"/>
    <w:rsid w:val="004B242C"/>
    <w:rsid w:val="004B2D8E"/>
    <w:rsid w:val="004B2F3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0AD8"/>
    <w:rsid w:val="004F16E2"/>
    <w:rsid w:val="004F183F"/>
    <w:rsid w:val="004F1C0A"/>
    <w:rsid w:val="004F21EE"/>
    <w:rsid w:val="004F2945"/>
    <w:rsid w:val="004F3131"/>
    <w:rsid w:val="004F356C"/>
    <w:rsid w:val="004F4710"/>
    <w:rsid w:val="004F49AA"/>
    <w:rsid w:val="004F49C3"/>
    <w:rsid w:val="004F4A26"/>
    <w:rsid w:val="004F52E1"/>
    <w:rsid w:val="004F5838"/>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2E"/>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52E"/>
    <w:rsid w:val="0054466D"/>
    <w:rsid w:val="005447C4"/>
    <w:rsid w:val="005452E2"/>
    <w:rsid w:val="005456DE"/>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50"/>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E2F"/>
    <w:rsid w:val="00556EF2"/>
    <w:rsid w:val="00556FE4"/>
    <w:rsid w:val="00557E84"/>
    <w:rsid w:val="005600F5"/>
    <w:rsid w:val="00561031"/>
    <w:rsid w:val="005610D2"/>
    <w:rsid w:val="005623AA"/>
    <w:rsid w:val="005623C6"/>
    <w:rsid w:val="0056245C"/>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2F3B"/>
    <w:rsid w:val="005A3CCD"/>
    <w:rsid w:val="005A40A1"/>
    <w:rsid w:val="005A445E"/>
    <w:rsid w:val="005A4A78"/>
    <w:rsid w:val="005A6542"/>
    <w:rsid w:val="005A684B"/>
    <w:rsid w:val="005A6AB6"/>
    <w:rsid w:val="005A6AD0"/>
    <w:rsid w:val="005B05C2"/>
    <w:rsid w:val="005B0FD6"/>
    <w:rsid w:val="005B15C2"/>
    <w:rsid w:val="005B1CB0"/>
    <w:rsid w:val="005B25EB"/>
    <w:rsid w:val="005B3056"/>
    <w:rsid w:val="005B3177"/>
    <w:rsid w:val="005B3608"/>
    <w:rsid w:val="005B3D2B"/>
    <w:rsid w:val="005B422B"/>
    <w:rsid w:val="005B48BD"/>
    <w:rsid w:val="005B49EE"/>
    <w:rsid w:val="005B49FF"/>
    <w:rsid w:val="005B622A"/>
    <w:rsid w:val="005B66BF"/>
    <w:rsid w:val="005B6C6F"/>
    <w:rsid w:val="005B6F0C"/>
    <w:rsid w:val="005B6F7D"/>
    <w:rsid w:val="005B7577"/>
    <w:rsid w:val="005B76A6"/>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83"/>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0A"/>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863"/>
    <w:rsid w:val="006134E7"/>
    <w:rsid w:val="00613D72"/>
    <w:rsid w:val="0061448A"/>
    <w:rsid w:val="0061502F"/>
    <w:rsid w:val="006151BB"/>
    <w:rsid w:val="0061557A"/>
    <w:rsid w:val="0061574F"/>
    <w:rsid w:val="006159E4"/>
    <w:rsid w:val="00617162"/>
    <w:rsid w:val="00617417"/>
    <w:rsid w:val="006177D1"/>
    <w:rsid w:val="00617861"/>
    <w:rsid w:val="0062093A"/>
    <w:rsid w:val="00621C92"/>
    <w:rsid w:val="0062322C"/>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87A"/>
    <w:rsid w:val="00631C31"/>
    <w:rsid w:val="00632061"/>
    <w:rsid w:val="006320CC"/>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57FD5"/>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74"/>
    <w:rsid w:val="006A395C"/>
    <w:rsid w:val="006A404F"/>
    <w:rsid w:val="006A46A7"/>
    <w:rsid w:val="006A4A4E"/>
    <w:rsid w:val="006A5591"/>
    <w:rsid w:val="006A5929"/>
    <w:rsid w:val="006A5C86"/>
    <w:rsid w:val="006A60DA"/>
    <w:rsid w:val="006A657D"/>
    <w:rsid w:val="006A6C0E"/>
    <w:rsid w:val="006A72BC"/>
    <w:rsid w:val="006A7836"/>
    <w:rsid w:val="006A7DE8"/>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01"/>
    <w:rsid w:val="00710EED"/>
    <w:rsid w:val="00710F77"/>
    <w:rsid w:val="00711131"/>
    <w:rsid w:val="00711913"/>
    <w:rsid w:val="00711978"/>
    <w:rsid w:val="00711B33"/>
    <w:rsid w:val="00712196"/>
    <w:rsid w:val="007133EC"/>
    <w:rsid w:val="00713494"/>
    <w:rsid w:val="00713DBF"/>
    <w:rsid w:val="00713F0D"/>
    <w:rsid w:val="00714455"/>
    <w:rsid w:val="00714D76"/>
    <w:rsid w:val="00714EED"/>
    <w:rsid w:val="00715F29"/>
    <w:rsid w:val="00716909"/>
    <w:rsid w:val="00716B79"/>
    <w:rsid w:val="00717DA6"/>
    <w:rsid w:val="00720226"/>
    <w:rsid w:val="00721145"/>
    <w:rsid w:val="00721760"/>
    <w:rsid w:val="007219C0"/>
    <w:rsid w:val="0072216B"/>
    <w:rsid w:val="00722889"/>
    <w:rsid w:val="0072288E"/>
    <w:rsid w:val="007230BD"/>
    <w:rsid w:val="00723D35"/>
    <w:rsid w:val="00723EEE"/>
    <w:rsid w:val="0072428F"/>
    <w:rsid w:val="007245D5"/>
    <w:rsid w:val="007246E8"/>
    <w:rsid w:val="00724826"/>
    <w:rsid w:val="00724A03"/>
    <w:rsid w:val="00724A47"/>
    <w:rsid w:val="00724D7B"/>
    <w:rsid w:val="007250AA"/>
    <w:rsid w:val="00726469"/>
    <w:rsid w:val="0072693B"/>
    <w:rsid w:val="00726CE6"/>
    <w:rsid w:val="007275A3"/>
    <w:rsid w:val="00727EA0"/>
    <w:rsid w:val="00727F15"/>
    <w:rsid w:val="00730181"/>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6798A"/>
    <w:rsid w:val="00770C60"/>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787"/>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056"/>
    <w:rsid w:val="007B74A3"/>
    <w:rsid w:val="007B75FE"/>
    <w:rsid w:val="007B7756"/>
    <w:rsid w:val="007C103D"/>
    <w:rsid w:val="007C1079"/>
    <w:rsid w:val="007C14EE"/>
    <w:rsid w:val="007C1537"/>
    <w:rsid w:val="007C1F9A"/>
    <w:rsid w:val="007C231D"/>
    <w:rsid w:val="007C2D23"/>
    <w:rsid w:val="007C2FEB"/>
    <w:rsid w:val="007C338D"/>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3D9"/>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43"/>
    <w:rsid w:val="00831E21"/>
    <w:rsid w:val="00832455"/>
    <w:rsid w:val="00832BDE"/>
    <w:rsid w:val="00832ED2"/>
    <w:rsid w:val="00833735"/>
    <w:rsid w:val="00833DC4"/>
    <w:rsid w:val="0083482A"/>
    <w:rsid w:val="00835352"/>
    <w:rsid w:val="008358A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A43"/>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E01E5"/>
    <w:rsid w:val="008E05B3"/>
    <w:rsid w:val="008E07B3"/>
    <w:rsid w:val="008E0B41"/>
    <w:rsid w:val="008E0D7B"/>
    <w:rsid w:val="008E1118"/>
    <w:rsid w:val="008E18F2"/>
    <w:rsid w:val="008E1F84"/>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88"/>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77C"/>
    <w:rsid w:val="00901A00"/>
    <w:rsid w:val="00902094"/>
    <w:rsid w:val="0090277E"/>
    <w:rsid w:val="00902F3B"/>
    <w:rsid w:val="009033A2"/>
    <w:rsid w:val="00903626"/>
    <w:rsid w:val="00903BD5"/>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C7B"/>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37F83"/>
    <w:rsid w:val="0094072C"/>
    <w:rsid w:val="009427EC"/>
    <w:rsid w:val="00942FDD"/>
    <w:rsid w:val="009432DB"/>
    <w:rsid w:val="009435E6"/>
    <w:rsid w:val="0094382A"/>
    <w:rsid w:val="00944791"/>
    <w:rsid w:val="00945CFA"/>
    <w:rsid w:val="00945E33"/>
    <w:rsid w:val="009479AB"/>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AF5"/>
    <w:rsid w:val="0096101D"/>
    <w:rsid w:val="009621D7"/>
    <w:rsid w:val="0096284C"/>
    <w:rsid w:val="00962E7F"/>
    <w:rsid w:val="00963662"/>
    <w:rsid w:val="00963A11"/>
    <w:rsid w:val="00963A4D"/>
    <w:rsid w:val="009644C6"/>
    <w:rsid w:val="00964502"/>
    <w:rsid w:val="00964629"/>
    <w:rsid w:val="00964817"/>
    <w:rsid w:val="009651F7"/>
    <w:rsid w:val="009657A4"/>
    <w:rsid w:val="009660DF"/>
    <w:rsid w:val="00966238"/>
    <w:rsid w:val="009665BE"/>
    <w:rsid w:val="009669B0"/>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5AC6"/>
    <w:rsid w:val="009A60BB"/>
    <w:rsid w:val="009A6AB4"/>
    <w:rsid w:val="009A70B3"/>
    <w:rsid w:val="009A780E"/>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1A8"/>
    <w:rsid w:val="009B75F0"/>
    <w:rsid w:val="009B7606"/>
    <w:rsid w:val="009B772B"/>
    <w:rsid w:val="009C0082"/>
    <w:rsid w:val="009C0F3F"/>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EC"/>
    <w:rsid w:val="009C795D"/>
    <w:rsid w:val="009C7A92"/>
    <w:rsid w:val="009C7DD9"/>
    <w:rsid w:val="009D03CC"/>
    <w:rsid w:val="009D0598"/>
    <w:rsid w:val="009D05FC"/>
    <w:rsid w:val="009D06A9"/>
    <w:rsid w:val="009D0876"/>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57CE"/>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1C91"/>
    <w:rsid w:val="00A11EEE"/>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572"/>
    <w:rsid w:val="00A31666"/>
    <w:rsid w:val="00A31D94"/>
    <w:rsid w:val="00A3316F"/>
    <w:rsid w:val="00A3336A"/>
    <w:rsid w:val="00A333C2"/>
    <w:rsid w:val="00A33667"/>
    <w:rsid w:val="00A34233"/>
    <w:rsid w:val="00A34BB4"/>
    <w:rsid w:val="00A34BE2"/>
    <w:rsid w:val="00A35D50"/>
    <w:rsid w:val="00A408CD"/>
    <w:rsid w:val="00A413CA"/>
    <w:rsid w:val="00A41695"/>
    <w:rsid w:val="00A42C7F"/>
    <w:rsid w:val="00A42C99"/>
    <w:rsid w:val="00A42FF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A5E"/>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061"/>
    <w:rsid w:val="00A73BD8"/>
    <w:rsid w:val="00A747B6"/>
    <w:rsid w:val="00A747D9"/>
    <w:rsid w:val="00A75AF6"/>
    <w:rsid w:val="00A7628F"/>
    <w:rsid w:val="00A76EE2"/>
    <w:rsid w:val="00A77C0A"/>
    <w:rsid w:val="00A80204"/>
    <w:rsid w:val="00A802EF"/>
    <w:rsid w:val="00A80941"/>
    <w:rsid w:val="00A80CEE"/>
    <w:rsid w:val="00A81A25"/>
    <w:rsid w:val="00A81AAF"/>
    <w:rsid w:val="00A81E22"/>
    <w:rsid w:val="00A81F40"/>
    <w:rsid w:val="00A826CB"/>
    <w:rsid w:val="00A8280A"/>
    <w:rsid w:val="00A829FA"/>
    <w:rsid w:val="00A82F73"/>
    <w:rsid w:val="00A83588"/>
    <w:rsid w:val="00A83BB3"/>
    <w:rsid w:val="00A84165"/>
    <w:rsid w:val="00A84715"/>
    <w:rsid w:val="00A84FA1"/>
    <w:rsid w:val="00A8586E"/>
    <w:rsid w:val="00A85A41"/>
    <w:rsid w:val="00A85AD9"/>
    <w:rsid w:val="00A85D91"/>
    <w:rsid w:val="00A860B5"/>
    <w:rsid w:val="00A862AC"/>
    <w:rsid w:val="00A86A9B"/>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D795E"/>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C17"/>
    <w:rsid w:val="00AF5DAA"/>
    <w:rsid w:val="00AF5EB0"/>
    <w:rsid w:val="00AF6B1B"/>
    <w:rsid w:val="00AF6C00"/>
    <w:rsid w:val="00AF7475"/>
    <w:rsid w:val="00AF7FEB"/>
    <w:rsid w:val="00B00C67"/>
    <w:rsid w:val="00B01301"/>
    <w:rsid w:val="00B015FC"/>
    <w:rsid w:val="00B01914"/>
    <w:rsid w:val="00B0196F"/>
    <w:rsid w:val="00B029D8"/>
    <w:rsid w:val="00B02AE0"/>
    <w:rsid w:val="00B02FC1"/>
    <w:rsid w:val="00B03C3F"/>
    <w:rsid w:val="00B04A98"/>
    <w:rsid w:val="00B04ED1"/>
    <w:rsid w:val="00B04F7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070"/>
    <w:rsid w:val="00B1517B"/>
    <w:rsid w:val="00B155C0"/>
    <w:rsid w:val="00B158C6"/>
    <w:rsid w:val="00B1596D"/>
    <w:rsid w:val="00B15B3C"/>
    <w:rsid w:val="00B15B92"/>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3E85"/>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0C0"/>
    <w:rsid w:val="00B463F1"/>
    <w:rsid w:val="00B466DE"/>
    <w:rsid w:val="00B46708"/>
    <w:rsid w:val="00B46D69"/>
    <w:rsid w:val="00B470EF"/>
    <w:rsid w:val="00B47509"/>
    <w:rsid w:val="00B50FE9"/>
    <w:rsid w:val="00B512DB"/>
    <w:rsid w:val="00B51B80"/>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06D"/>
    <w:rsid w:val="00B94204"/>
    <w:rsid w:val="00B9429D"/>
    <w:rsid w:val="00B94FF6"/>
    <w:rsid w:val="00B9553C"/>
    <w:rsid w:val="00B95675"/>
    <w:rsid w:val="00B958D8"/>
    <w:rsid w:val="00B95D32"/>
    <w:rsid w:val="00B95E0B"/>
    <w:rsid w:val="00B95F64"/>
    <w:rsid w:val="00B972C3"/>
    <w:rsid w:val="00B973B5"/>
    <w:rsid w:val="00B97422"/>
    <w:rsid w:val="00B97CFE"/>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5BC"/>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50EB"/>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37A0"/>
    <w:rsid w:val="00C13B9C"/>
    <w:rsid w:val="00C15E92"/>
    <w:rsid w:val="00C169A4"/>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09F"/>
    <w:rsid w:val="00C24788"/>
    <w:rsid w:val="00C24C80"/>
    <w:rsid w:val="00C250F2"/>
    <w:rsid w:val="00C25825"/>
    <w:rsid w:val="00C259EB"/>
    <w:rsid w:val="00C25A42"/>
    <w:rsid w:val="00C25DAA"/>
    <w:rsid w:val="00C26717"/>
    <w:rsid w:val="00C269F1"/>
    <w:rsid w:val="00C26FF4"/>
    <w:rsid w:val="00C2787E"/>
    <w:rsid w:val="00C30115"/>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670"/>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20C5"/>
    <w:rsid w:val="00C525C7"/>
    <w:rsid w:val="00C52639"/>
    <w:rsid w:val="00C52690"/>
    <w:rsid w:val="00C529A8"/>
    <w:rsid w:val="00C52E23"/>
    <w:rsid w:val="00C5366C"/>
    <w:rsid w:val="00C545D2"/>
    <w:rsid w:val="00C54B26"/>
    <w:rsid w:val="00C54BEC"/>
    <w:rsid w:val="00C5555E"/>
    <w:rsid w:val="00C55CAF"/>
    <w:rsid w:val="00C563D7"/>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5CBC"/>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0CE6"/>
    <w:rsid w:val="00C918DD"/>
    <w:rsid w:val="00C91AEF"/>
    <w:rsid w:val="00C91D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35B"/>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3C"/>
    <w:rsid w:val="00CC5261"/>
    <w:rsid w:val="00CC646C"/>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1F99"/>
    <w:rsid w:val="00CE244E"/>
    <w:rsid w:val="00CE3136"/>
    <w:rsid w:val="00CE5F3A"/>
    <w:rsid w:val="00CE6996"/>
    <w:rsid w:val="00CE6D23"/>
    <w:rsid w:val="00CE72B9"/>
    <w:rsid w:val="00CE752E"/>
    <w:rsid w:val="00CE783C"/>
    <w:rsid w:val="00CF0CC0"/>
    <w:rsid w:val="00CF0D7D"/>
    <w:rsid w:val="00CF1715"/>
    <w:rsid w:val="00CF18E6"/>
    <w:rsid w:val="00CF1FD9"/>
    <w:rsid w:val="00CF2558"/>
    <w:rsid w:val="00CF28A3"/>
    <w:rsid w:val="00CF2F5F"/>
    <w:rsid w:val="00CF387C"/>
    <w:rsid w:val="00CF3AAF"/>
    <w:rsid w:val="00CF4EE4"/>
    <w:rsid w:val="00CF587C"/>
    <w:rsid w:val="00CF5A19"/>
    <w:rsid w:val="00CF5D2A"/>
    <w:rsid w:val="00CF621D"/>
    <w:rsid w:val="00CF661E"/>
    <w:rsid w:val="00CF681C"/>
    <w:rsid w:val="00CF692C"/>
    <w:rsid w:val="00CF740D"/>
    <w:rsid w:val="00CF7DD7"/>
    <w:rsid w:val="00D00630"/>
    <w:rsid w:val="00D01453"/>
    <w:rsid w:val="00D017E5"/>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0E34"/>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739B"/>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C3"/>
    <w:rsid w:val="00D23C52"/>
    <w:rsid w:val="00D24D0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400F1"/>
    <w:rsid w:val="00D40615"/>
    <w:rsid w:val="00D41A63"/>
    <w:rsid w:val="00D41FE7"/>
    <w:rsid w:val="00D43039"/>
    <w:rsid w:val="00D4328B"/>
    <w:rsid w:val="00D445EC"/>
    <w:rsid w:val="00D44657"/>
    <w:rsid w:val="00D45A74"/>
    <w:rsid w:val="00D461CD"/>
    <w:rsid w:val="00D46F0A"/>
    <w:rsid w:val="00D47D70"/>
    <w:rsid w:val="00D50890"/>
    <w:rsid w:val="00D508EA"/>
    <w:rsid w:val="00D50995"/>
    <w:rsid w:val="00D50DF6"/>
    <w:rsid w:val="00D514D6"/>
    <w:rsid w:val="00D51743"/>
    <w:rsid w:val="00D51A7D"/>
    <w:rsid w:val="00D51DBD"/>
    <w:rsid w:val="00D52300"/>
    <w:rsid w:val="00D52885"/>
    <w:rsid w:val="00D52F9D"/>
    <w:rsid w:val="00D53624"/>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9E3"/>
    <w:rsid w:val="00D91A1D"/>
    <w:rsid w:val="00D91B23"/>
    <w:rsid w:val="00D91F03"/>
    <w:rsid w:val="00D92783"/>
    <w:rsid w:val="00D92C02"/>
    <w:rsid w:val="00D92C3E"/>
    <w:rsid w:val="00D9370A"/>
    <w:rsid w:val="00D93985"/>
    <w:rsid w:val="00D943F1"/>
    <w:rsid w:val="00D945E3"/>
    <w:rsid w:val="00D9496A"/>
    <w:rsid w:val="00D94BAE"/>
    <w:rsid w:val="00D957D9"/>
    <w:rsid w:val="00D95A78"/>
    <w:rsid w:val="00D96E59"/>
    <w:rsid w:val="00D97C82"/>
    <w:rsid w:val="00DA04E3"/>
    <w:rsid w:val="00DA0DDB"/>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A03"/>
    <w:rsid w:val="00DC3AEC"/>
    <w:rsid w:val="00DC3B67"/>
    <w:rsid w:val="00DC3E10"/>
    <w:rsid w:val="00DC4256"/>
    <w:rsid w:val="00DC48BE"/>
    <w:rsid w:val="00DC5329"/>
    <w:rsid w:val="00DC714E"/>
    <w:rsid w:val="00DC77D8"/>
    <w:rsid w:val="00DD0CE1"/>
    <w:rsid w:val="00DD11F4"/>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2BE"/>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B21"/>
    <w:rsid w:val="00DE4CFF"/>
    <w:rsid w:val="00DE581C"/>
    <w:rsid w:val="00DE5D41"/>
    <w:rsid w:val="00DE6FAD"/>
    <w:rsid w:val="00DE730F"/>
    <w:rsid w:val="00DE745F"/>
    <w:rsid w:val="00DE79AB"/>
    <w:rsid w:val="00DF0001"/>
    <w:rsid w:val="00DF0741"/>
    <w:rsid w:val="00DF0772"/>
    <w:rsid w:val="00DF089D"/>
    <w:rsid w:val="00DF0C82"/>
    <w:rsid w:val="00DF0D85"/>
    <w:rsid w:val="00DF16E1"/>
    <w:rsid w:val="00DF18E8"/>
    <w:rsid w:val="00DF1E58"/>
    <w:rsid w:val="00DF2BA8"/>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4C15"/>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6D18"/>
    <w:rsid w:val="00E1726B"/>
    <w:rsid w:val="00E172E8"/>
    <w:rsid w:val="00E17333"/>
    <w:rsid w:val="00E176A4"/>
    <w:rsid w:val="00E17A5D"/>
    <w:rsid w:val="00E17D32"/>
    <w:rsid w:val="00E17EAD"/>
    <w:rsid w:val="00E17FFD"/>
    <w:rsid w:val="00E2213D"/>
    <w:rsid w:val="00E2263E"/>
    <w:rsid w:val="00E22AC6"/>
    <w:rsid w:val="00E23428"/>
    <w:rsid w:val="00E23792"/>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2E1"/>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A8"/>
    <w:rsid w:val="00E66DB7"/>
    <w:rsid w:val="00E66F50"/>
    <w:rsid w:val="00E670F1"/>
    <w:rsid w:val="00E674B6"/>
    <w:rsid w:val="00E67AAF"/>
    <w:rsid w:val="00E67C87"/>
    <w:rsid w:val="00E7029D"/>
    <w:rsid w:val="00E7135A"/>
    <w:rsid w:val="00E72157"/>
    <w:rsid w:val="00E72911"/>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3D7"/>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0FB"/>
    <w:rsid w:val="00EA110F"/>
    <w:rsid w:val="00EA1404"/>
    <w:rsid w:val="00EA14DB"/>
    <w:rsid w:val="00EA19F9"/>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6FA4"/>
    <w:rsid w:val="00ED7199"/>
    <w:rsid w:val="00ED72A3"/>
    <w:rsid w:val="00ED72E1"/>
    <w:rsid w:val="00ED7AC1"/>
    <w:rsid w:val="00ED7B81"/>
    <w:rsid w:val="00EE0260"/>
    <w:rsid w:val="00EE08C0"/>
    <w:rsid w:val="00EE0B7D"/>
    <w:rsid w:val="00EE240D"/>
    <w:rsid w:val="00EE29C2"/>
    <w:rsid w:val="00EE3A90"/>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2B5"/>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CFF"/>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EC6"/>
    <w:rsid w:val="00F62579"/>
    <w:rsid w:val="00F62960"/>
    <w:rsid w:val="00F62B7B"/>
    <w:rsid w:val="00F62E72"/>
    <w:rsid w:val="00F64431"/>
    <w:rsid w:val="00F64CE8"/>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EE0"/>
    <w:rsid w:val="00F9033D"/>
    <w:rsid w:val="00F90DFC"/>
    <w:rsid w:val="00F919AC"/>
    <w:rsid w:val="00F91D95"/>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5E05"/>
    <w:rsid w:val="00FB6088"/>
    <w:rsid w:val="00FB60CA"/>
    <w:rsid w:val="00FB6141"/>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2F3"/>
    <w:rsid w:val="00FD760B"/>
    <w:rsid w:val="00FE11A1"/>
    <w:rsid w:val="00FE21E4"/>
    <w:rsid w:val="00FE22EE"/>
    <w:rsid w:val="00FE22FF"/>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CF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CF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0626401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128514">
      <w:bodyDiv w:val="1"/>
      <w:marLeft w:val="0"/>
      <w:marRight w:val="0"/>
      <w:marTop w:val="0"/>
      <w:marBottom w:val="0"/>
      <w:divBdr>
        <w:top w:val="none" w:sz="0" w:space="0" w:color="auto"/>
        <w:left w:val="none" w:sz="0" w:space="0" w:color="auto"/>
        <w:bottom w:val="none" w:sz="0" w:space="0" w:color="auto"/>
        <w:right w:val="none" w:sz="0" w:space="0" w:color="auto"/>
      </w:divBdr>
      <w:divsChild>
        <w:div w:id="1485272196">
          <w:marLeft w:val="1800"/>
          <w:marRight w:val="0"/>
          <w:marTop w:val="80"/>
          <w:marBottom w:val="0"/>
          <w:divBdr>
            <w:top w:val="none" w:sz="0" w:space="0" w:color="auto"/>
            <w:left w:val="none" w:sz="0" w:space="0" w:color="auto"/>
            <w:bottom w:val="none" w:sz="0" w:space="0" w:color="auto"/>
            <w:right w:val="none" w:sz="0" w:space="0" w:color="auto"/>
          </w:divBdr>
        </w:div>
        <w:div w:id="1653949202">
          <w:marLeft w:val="1800"/>
          <w:marRight w:val="0"/>
          <w:marTop w:val="80"/>
          <w:marBottom w:val="0"/>
          <w:divBdr>
            <w:top w:val="none" w:sz="0" w:space="0" w:color="auto"/>
            <w:left w:val="none" w:sz="0" w:space="0" w:color="auto"/>
            <w:bottom w:val="none" w:sz="0" w:space="0" w:color="auto"/>
            <w:right w:val="none" w:sz="0" w:space="0" w:color="auto"/>
          </w:divBdr>
        </w:div>
        <w:div w:id="1656838651">
          <w:marLeft w:val="1800"/>
          <w:marRight w:val="0"/>
          <w:marTop w:val="80"/>
          <w:marBottom w:val="0"/>
          <w:divBdr>
            <w:top w:val="none" w:sz="0" w:space="0" w:color="auto"/>
            <w:left w:val="none" w:sz="0" w:space="0" w:color="auto"/>
            <w:bottom w:val="none" w:sz="0" w:space="0" w:color="auto"/>
            <w:right w:val="none" w:sz="0" w:space="0" w:color="auto"/>
          </w:divBdr>
        </w:div>
      </w:divsChild>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0919705">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24414192">
      <w:bodyDiv w:val="1"/>
      <w:marLeft w:val="0"/>
      <w:marRight w:val="0"/>
      <w:marTop w:val="0"/>
      <w:marBottom w:val="0"/>
      <w:divBdr>
        <w:top w:val="none" w:sz="0" w:space="0" w:color="auto"/>
        <w:left w:val="none" w:sz="0" w:space="0" w:color="auto"/>
        <w:bottom w:val="none" w:sz="0" w:space="0" w:color="auto"/>
        <w:right w:val="none" w:sz="0" w:space="0" w:color="auto"/>
      </w:divBdr>
      <w:divsChild>
        <w:div w:id="1896506957">
          <w:marLeft w:val="0"/>
          <w:marRight w:val="0"/>
          <w:marTop w:val="0"/>
          <w:marBottom w:val="0"/>
          <w:divBdr>
            <w:top w:val="none" w:sz="0" w:space="0" w:color="auto"/>
            <w:left w:val="none" w:sz="0" w:space="0" w:color="auto"/>
            <w:bottom w:val="none" w:sz="0" w:space="0" w:color="auto"/>
            <w:right w:val="none" w:sz="0" w:space="0" w:color="auto"/>
          </w:divBdr>
          <w:divsChild>
            <w:div w:id="1655841547">
              <w:marLeft w:val="0"/>
              <w:marRight w:val="0"/>
              <w:marTop w:val="0"/>
              <w:marBottom w:val="0"/>
              <w:divBdr>
                <w:top w:val="none" w:sz="0" w:space="0" w:color="auto"/>
                <w:left w:val="none" w:sz="0" w:space="0" w:color="auto"/>
                <w:bottom w:val="none" w:sz="0" w:space="0" w:color="auto"/>
                <w:right w:val="none" w:sz="0" w:space="0" w:color="auto"/>
              </w:divBdr>
              <w:divsChild>
                <w:div w:id="1717699597">
                  <w:marLeft w:val="0"/>
                  <w:marRight w:val="0"/>
                  <w:marTop w:val="0"/>
                  <w:marBottom w:val="0"/>
                  <w:divBdr>
                    <w:top w:val="single" w:sz="6" w:space="0" w:color="CCCCCC"/>
                    <w:left w:val="single" w:sz="6" w:space="0" w:color="CCCCCC"/>
                    <w:bottom w:val="single" w:sz="6" w:space="0" w:color="CCCCCC"/>
                    <w:right w:val="single" w:sz="6" w:space="0" w:color="CCCCCC"/>
                  </w:divBdr>
                  <w:divsChild>
                    <w:div w:id="330376911">
                      <w:marLeft w:val="0"/>
                      <w:marRight w:val="0"/>
                      <w:marTop w:val="0"/>
                      <w:marBottom w:val="0"/>
                      <w:divBdr>
                        <w:top w:val="none" w:sz="0" w:space="0" w:color="auto"/>
                        <w:left w:val="none" w:sz="0" w:space="0" w:color="auto"/>
                        <w:bottom w:val="none" w:sz="0" w:space="0" w:color="auto"/>
                        <w:right w:val="none" w:sz="0" w:space="0" w:color="auto"/>
                      </w:divBdr>
                      <w:divsChild>
                        <w:div w:id="322516362">
                          <w:marLeft w:val="0"/>
                          <w:marRight w:val="0"/>
                          <w:marTop w:val="0"/>
                          <w:marBottom w:val="0"/>
                          <w:divBdr>
                            <w:top w:val="none" w:sz="0" w:space="0" w:color="auto"/>
                            <w:left w:val="none" w:sz="0" w:space="0" w:color="auto"/>
                            <w:bottom w:val="none" w:sz="0" w:space="0" w:color="auto"/>
                            <w:right w:val="none" w:sz="0" w:space="0" w:color="auto"/>
                          </w:divBdr>
                          <w:divsChild>
                            <w:div w:id="442724484">
                              <w:marLeft w:val="0"/>
                              <w:marRight w:val="0"/>
                              <w:marTop w:val="0"/>
                              <w:marBottom w:val="0"/>
                              <w:divBdr>
                                <w:top w:val="none" w:sz="0" w:space="0" w:color="auto"/>
                                <w:left w:val="none" w:sz="0" w:space="0" w:color="auto"/>
                                <w:bottom w:val="none" w:sz="0" w:space="0" w:color="auto"/>
                                <w:right w:val="none" w:sz="0" w:space="0" w:color="auto"/>
                              </w:divBdr>
                              <w:divsChild>
                                <w:div w:id="447088337">
                                  <w:marLeft w:val="0"/>
                                  <w:marRight w:val="0"/>
                                  <w:marTop w:val="0"/>
                                  <w:marBottom w:val="0"/>
                                  <w:divBdr>
                                    <w:top w:val="none" w:sz="0" w:space="0" w:color="auto"/>
                                    <w:left w:val="none" w:sz="0" w:space="0" w:color="auto"/>
                                    <w:bottom w:val="none" w:sz="0" w:space="0" w:color="auto"/>
                                    <w:right w:val="none" w:sz="0" w:space="0" w:color="auto"/>
                                  </w:divBdr>
                                  <w:divsChild>
                                    <w:div w:id="882595897">
                                      <w:marLeft w:val="0"/>
                                      <w:marRight w:val="0"/>
                                      <w:marTop w:val="0"/>
                                      <w:marBottom w:val="0"/>
                                      <w:divBdr>
                                        <w:top w:val="none" w:sz="0" w:space="0" w:color="auto"/>
                                        <w:left w:val="none" w:sz="0" w:space="0" w:color="auto"/>
                                        <w:bottom w:val="none" w:sz="0" w:space="0" w:color="auto"/>
                                        <w:right w:val="none" w:sz="0" w:space="0" w:color="auto"/>
                                      </w:divBdr>
                                      <w:divsChild>
                                        <w:div w:id="434793641">
                                          <w:marLeft w:val="0"/>
                                          <w:marRight w:val="0"/>
                                          <w:marTop w:val="0"/>
                                          <w:marBottom w:val="0"/>
                                          <w:divBdr>
                                            <w:top w:val="none" w:sz="0" w:space="0" w:color="auto"/>
                                            <w:left w:val="none" w:sz="0" w:space="0" w:color="auto"/>
                                            <w:bottom w:val="none" w:sz="0" w:space="0" w:color="auto"/>
                                            <w:right w:val="none" w:sz="0" w:space="0" w:color="auto"/>
                                          </w:divBdr>
                                          <w:divsChild>
                                            <w:div w:id="1353724992">
                                              <w:marLeft w:val="0"/>
                                              <w:marRight w:val="0"/>
                                              <w:marTop w:val="0"/>
                                              <w:marBottom w:val="0"/>
                                              <w:divBdr>
                                                <w:top w:val="none" w:sz="0" w:space="0" w:color="auto"/>
                                                <w:left w:val="none" w:sz="0" w:space="0" w:color="auto"/>
                                                <w:bottom w:val="none" w:sz="0" w:space="0" w:color="auto"/>
                                                <w:right w:val="none" w:sz="0" w:space="0" w:color="auto"/>
                                              </w:divBdr>
                                            </w:div>
                                          </w:divsChild>
                                        </w:div>
                                        <w:div w:id="1601176459">
                                          <w:marLeft w:val="0"/>
                                          <w:marRight w:val="0"/>
                                          <w:marTop w:val="0"/>
                                          <w:marBottom w:val="0"/>
                                          <w:divBdr>
                                            <w:top w:val="none" w:sz="0" w:space="0" w:color="auto"/>
                                            <w:left w:val="none" w:sz="0" w:space="0" w:color="auto"/>
                                            <w:bottom w:val="none" w:sz="0" w:space="0" w:color="auto"/>
                                            <w:right w:val="none" w:sz="0" w:space="0" w:color="auto"/>
                                          </w:divBdr>
                                          <w:divsChild>
                                            <w:div w:id="1101726629">
                                              <w:marLeft w:val="0"/>
                                              <w:marRight w:val="0"/>
                                              <w:marTop w:val="0"/>
                                              <w:marBottom w:val="0"/>
                                              <w:divBdr>
                                                <w:top w:val="none" w:sz="0" w:space="0" w:color="auto"/>
                                                <w:left w:val="none" w:sz="0" w:space="0" w:color="auto"/>
                                                <w:bottom w:val="none" w:sz="0" w:space="0" w:color="auto"/>
                                                <w:right w:val="none" w:sz="0" w:space="0" w:color="auto"/>
                                              </w:divBdr>
                                            </w:div>
                                            <w:div w:id="1724981529">
                                              <w:marLeft w:val="0"/>
                                              <w:marRight w:val="0"/>
                                              <w:marTop w:val="0"/>
                                              <w:marBottom w:val="0"/>
                                              <w:divBdr>
                                                <w:top w:val="none" w:sz="0" w:space="0" w:color="auto"/>
                                                <w:left w:val="none" w:sz="0" w:space="0" w:color="auto"/>
                                                <w:bottom w:val="none" w:sz="0" w:space="0" w:color="auto"/>
                                                <w:right w:val="none" w:sz="0" w:space="0" w:color="auto"/>
                                              </w:divBdr>
                                            </w:div>
                                          </w:divsChild>
                                        </w:div>
                                        <w:div w:id="58331815">
                                          <w:marLeft w:val="0"/>
                                          <w:marRight w:val="0"/>
                                          <w:marTop w:val="0"/>
                                          <w:marBottom w:val="0"/>
                                          <w:divBdr>
                                            <w:top w:val="none" w:sz="0" w:space="0" w:color="auto"/>
                                            <w:left w:val="none" w:sz="0" w:space="0" w:color="auto"/>
                                            <w:bottom w:val="none" w:sz="0" w:space="0" w:color="auto"/>
                                            <w:right w:val="none" w:sz="0" w:space="0" w:color="auto"/>
                                          </w:divBdr>
                                          <w:divsChild>
                                            <w:div w:id="94326716">
                                              <w:marLeft w:val="0"/>
                                              <w:marRight w:val="0"/>
                                              <w:marTop w:val="0"/>
                                              <w:marBottom w:val="0"/>
                                              <w:divBdr>
                                                <w:top w:val="none" w:sz="0" w:space="0" w:color="auto"/>
                                                <w:left w:val="none" w:sz="0" w:space="0" w:color="auto"/>
                                                <w:bottom w:val="none" w:sz="0" w:space="0" w:color="auto"/>
                                                <w:right w:val="none" w:sz="0" w:space="0" w:color="auto"/>
                                              </w:divBdr>
                                            </w:div>
                                            <w:div w:id="1944729090">
                                              <w:marLeft w:val="0"/>
                                              <w:marRight w:val="0"/>
                                              <w:marTop w:val="0"/>
                                              <w:marBottom w:val="0"/>
                                              <w:divBdr>
                                                <w:top w:val="none" w:sz="0" w:space="0" w:color="auto"/>
                                                <w:left w:val="none" w:sz="0" w:space="0" w:color="auto"/>
                                                <w:bottom w:val="none" w:sz="0" w:space="0" w:color="auto"/>
                                                <w:right w:val="none" w:sz="0" w:space="0" w:color="auto"/>
                                              </w:divBdr>
                                            </w:div>
                                          </w:divsChild>
                                        </w:div>
                                        <w:div w:id="186529852">
                                          <w:marLeft w:val="0"/>
                                          <w:marRight w:val="0"/>
                                          <w:marTop w:val="0"/>
                                          <w:marBottom w:val="0"/>
                                          <w:divBdr>
                                            <w:top w:val="none" w:sz="0" w:space="0" w:color="auto"/>
                                            <w:left w:val="none" w:sz="0" w:space="0" w:color="auto"/>
                                            <w:bottom w:val="none" w:sz="0" w:space="0" w:color="auto"/>
                                            <w:right w:val="none" w:sz="0" w:space="0" w:color="auto"/>
                                          </w:divBdr>
                                          <w:divsChild>
                                            <w:div w:id="335576195">
                                              <w:marLeft w:val="0"/>
                                              <w:marRight w:val="0"/>
                                              <w:marTop w:val="0"/>
                                              <w:marBottom w:val="0"/>
                                              <w:divBdr>
                                                <w:top w:val="none" w:sz="0" w:space="0" w:color="auto"/>
                                                <w:left w:val="none" w:sz="0" w:space="0" w:color="auto"/>
                                                <w:bottom w:val="none" w:sz="0" w:space="0" w:color="auto"/>
                                                <w:right w:val="none" w:sz="0" w:space="0" w:color="auto"/>
                                              </w:divBdr>
                                            </w:div>
                                            <w:div w:id="1560357784">
                                              <w:marLeft w:val="0"/>
                                              <w:marRight w:val="0"/>
                                              <w:marTop w:val="0"/>
                                              <w:marBottom w:val="0"/>
                                              <w:divBdr>
                                                <w:top w:val="none" w:sz="0" w:space="0" w:color="auto"/>
                                                <w:left w:val="none" w:sz="0" w:space="0" w:color="auto"/>
                                                <w:bottom w:val="none" w:sz="0" w:space="0" w:color="auto"/>
                                                <w:right w:val="none" w:sz="0" w:space="0" w:color="auto"/>
                                              </w:divBdr>
                                            </w:div>
                                          </w:divsChild>
                                        </w:div>
                                        <w:div w:id="103966248">
                                          <w:marLeft w:val="0"/>
                                          <w:marRight w:val="0"/>
                                          <w:marTop w:val="0"/>
                                          <w:marBottom w:val="0"/>
                                          <w:divBdr>
                                            <w:top w:val="none" w:sz="0" w:space="0" w:color="auto"/>
                                            <w:left w:val="none" w:sz="0" w:space="0" w:color="auto"/>
                                            <w:bottom w:val="none" w:sz="0" w:space="0" w:color="auto"/>
                                            <w:right w:val="none" w:sz="0" w:space="0" w:color="auto"/>
                                          </w:divBdr>
                                          <w:divsChild>
                                            <w:div w:id="1794207645">
                                              <w:marLeft w:val="0"/>
                                              <w:marRight w:val="0"/>
                                              <w:marTop w:val="0"/>
                                              <w:marBottom w:val="0"/>
                                              <w:divBdr>
                                                <w:top w:val="none" w:sz="0" w:space="0" w:color="auto"/>
                                                <w:left w:val="none" w:sz="0" w:space="0" w:color="auto"/>
                                                <w:bottom w:val="none" w:sz="0" w:space="0" w:color="auto"/>
                                                <w:right w:val="none" w:sz="0" w:space="0" w:color="auto"/>
                                              </w:divBdr>
                                            </w:div>
                                            <w:div w:id="175777945">
                                              <w:marLeft w:val="0"/>
                                              <w:marRight w:val="0"/>
                                              <w:marTop w:val="0"/>
                                              <w:marBottom w:val="0"/>
                                              <w:divBdr>
                                                <w:top w:val="none" w:sz="0" w:space="0" w:color="auto"/>
                                                <w:left w:val="none" w:sz="0" w:space="0" w:color="auto"/>
                                                <w:bottom w:val="none" w:sz="0" w:space="0" w:color="auto"/>
                                                <w:right w:val="none" w:sz="0" w:space="0" w:color="auto"/>
                                              </w:divBdr>
                                            </w:div>
                                          </w:divsChild>
                                        </w:div>
                                        <w:div w:id="1452364598">
                                          <w:marLeft w:val="0"/>
                                          <w:marRight w:val="0"/>
                                          <w:marTop w:val="0"/>
                                          <w:marBottom w:val="0"/>
                                          <w:divBdr>
                                            <w:top w:val="none" w:sz="0" w:space="0" w:color="auto"/>
                                            <w:left w:val="none" w:sz="0" w:space="0" w:color="auto"/>
                                            <w:bottom w:val="none" w:sz="0" w:space="0" w:color="auto"/>
                                            <w:right w:val="none" w:sz="0" w:space="0" w:color="auto"/>
                                          </w:divBdr>
                                          <w:divsChild>
                                            <w:div w:id="957026715">
                                              <w:marLeft w:val="0"/>
                                              <w:marRight w:val="0"/>
                                              <w:marTop w:val="0"/>
                                              <w:marBottom w:val="0"/>
                                              <w:divBdr>
                                                <w:top w:val="none" w:sz="0" w:space="0" w:color="auto"/>
                                                <w:left w:val="none" w:sz="0" w:space="0" w:color="auto"/>
                                                <w:bottom w:val="none" w:sz="0" w:space="0" w:color="auto"/>
                                                <w:right w:val="none" w:sz="0" w:space="0" w:color="auto"/>
                                              </w:divBdr>
                                            </w:div>
                                            <w:div w:id="1735854179">
                                              <w:marLeft w:val="0"/>
                                              <w:marRight w:val="0"/>
                                              <w:marTop w:val="0"/>
                                              <w:marBottom w:val="0"/>
                                              <w:divBdr>
                                                <w:top w:val="none" w:sz="0" w:space="0" w:color="auto"/>
                                                <w:left w:val="none" w:sz="0" w:space="0" w:color="auto"/>
                                                <w:bottom w:val="none" w:sz="0" w:space="0" w:color="auto"/>
                                                <w:right w:val="none" w:sz="0" w:space="0" w:color="auto"/>
                                              </w:divBdr>
                                            </w:div>
                                          </w:divsChild>
                                        </w:div>
                                        <w:div w:id="950819642">
                                          <w:marLeft w:val="0"/>
                                          <w:marRight w:val="0"/>
                                          <w:marTop w:val="0"/>
                                          <w:marBottom w:val="0"/>
                                          <w:divBdr>
                                            <w:top w:val="none" w:sz="0" w:space="0" w:color="auto"/>
                                            <w:left w:val="none" w:sz="0" w:space="0" w:color="auto"/>
                                            <w:bottom w:val="none" w:sz="0" w:space="0" w:color="auto"/>
                                            <w:right w:val="none" w:sz="0" w:space="0" w:color="auto"/>
                                          </w:divBdr>
                                          <w:divsChild>
                                            <w:div w:id="1878007348">
                                              <w:marLeft w:val="0"/>
                                              <w:marRight w:val="0"/>
                                              <w:marTop w:val="0"/>
                                              <w:marBottom w:val="0"/>
                                              <w:divBdr>
                                                <w:top w:val="none" w:sz="0" w:space="0" w:color="auto"/>
                                                <w:left w:val="none" w:sz="0" w:space="0" w:color="auto"/>
                                                <w:bottom w:val="none" w:sz="0" w:space="0" w:color="auto"/>
                                                <w:right w:val="none" w:sz="0" w:space="0" w:color="auto"/>
                                              </w:divBdr>
                                            </w:div>
                                            <w:div w:id="968821735">
                                              <w:marLeft w:val="0"/>
                                              <w:marRight w:val="0"/>
                                              <w:marTop w:val="0"/>
                                              <w:marBottom w:val="0"/>
                                              <w:divBdr>
                                                <w:top w:val="none" w:sz="0" w:space="0" w:color="auto"/>
                                                <w:left w:val="none" w:sz="0" w:space="0" w:color="auto"/>
                                                <w:bottom w:val="none" w:sz="0" w:space="0" w:color="auto"/>
                                                <w:right w:val="none" w:sz="0" w:space="0" w:color="auto"/>
                                              </w:divBdr>
                                            </w:div>
                                          </w:divsChild>
                                        </w:div>
                                        <w:div w:id="1915974085">
                                          <w:marLeft w:val="0"/>
                                          <w:marRight w:val="0"/>
                                          <w:marTop w:val="0"/>
                                          <w:marBottom w:val="0"/>
                                          <w:divBdr>
                                            <w:top w:val="none" w:sz="0" w:space="0" w:color="auto"/>
                                            <w:left w:val="none" w:sz="0" w:space="0" w:color="auto"/>
                                            <w:bottom w:val="none" w:sz="0" w:space="0" w:color="auto"/>
                                            <w:right w:val="none" w:sz="0" w:space="0" w:color="auto"/>
                                          </w:divBdr>
                                          <w:divsChild>
                                            <w:div w:id="1636789228">
                                              <w:marLeft w:val="0"/>
                                              <w:marRight w:val="0"/>
                                              <w:marTop w:val="0"/>
                                              <w:marBottom w:val="0"/>
                                              <w:divBdr>
                                                <w:top w:val="none" w:sz="0" w:space="0" w:color="auto"/>
                                                <w:left w:val="none" w:sz="0" w:space="0" w:color="auto"/>
                                                <w:bottom w:val="none" w:sz="0" w:space="0" w:color="auto"/>
                                                <w:right w:val="none" w:sz="0" w:space="0" w:color="auto"/>
                                              </w:divBdr>
                                            </w:div>
                                            <w:div w:id="1348025434">
                                              <w:marLeft w:val="0"/>
                                              <w:marRight w:val="0"/>
                                              <w:marTop w:val="0"/>
                                              <w:marBottom w:val="0"/>
                                              <w:divBdr>
                                                <w:top w:val="none" w:sz="0" w:space="0" w:color="auto"/>
                                                <w:left w:val="none" w:sz="0" w:space="0" w:color="auto"/>
                                                <w:bottom w:val="none" w:sz="0" w:space="0" w:color="auto"/>
                                                <w:right w:val="none" w:sz="0" w:space="0" w:color="auto"/>
                                              </w:divBdr>
                                              <w:divsChild>
                                                <w:div w:id="145116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0793040">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86147234">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3098574">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7528260">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8751558">
      <w:bodyDiv w:val="1"/>
      <w:marLeft w:val="0"/>
      <w:marRight w:val="0"/>
      <w:marTop w:val="0"/>
      <w:marBottom w:val="0"/>
      <w:divBdr>
        <w:top w:val="none" w:sz="0" w:space="0" w:color="auto"/>
        <w:left w:val="none" w:sz="0" w:space="0" w:color="auto"/>
        <w:bottom w:val="none" w:sz="0" w:space="0" w:color="auto"/>
        <w:right w:val="none" w:sz="0" w:space="0" w:color="auto"/>
      </w:divBdr>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9893801">
      <w:bodyDiv w:val="1"/>
      <w:marLeft w:val="0"/>
      <w:marRight w:val="0"/>
      <w:marTop w:val="0"/>
      <w:marBottom w:val="0"/>
      <w:divBdr>
        <w:top w:val="none" w:sz="0" w:space="0" w:color="auto"/>
        <w:left w:val="none" w:sz="0" w:space="0" w:color="auto"/>
        <w:bottom w:val="none" w:sz="0" w:space="0" w:color="auto"/>
        <w:right w:val="none" w:sz="0" w:space="0" w:color="auto"/>
      </w:divBdr>
      <w:divsChild>
        <w:div w:id="132676122">
          <w:marLeft w:val="0"/>
          <w:marRight w:val="0"/>
          <w:marTop w:val="0"/>
          <w:marBottom w:val="0"/>
          <w:divBdr>
            <w:top w:val="none" w:sz="0" w:space="0" w:color="auto"/>
            <w:left w:val="none" w:sz="0" w:space="0" w:color="auto"/>
            <w:bottom w:val="none" w:sz="0" w:space="0" w:color="auto"/>
            <w:right w:val="none" w:sz="0" w:space="0" w:color="auto"/>
          </w:divBdr>
          <w:divsChild>
            <w:div w:id="5910675">
              <w:marLeft w:val="0"/>
              <w:marRight w:val="0"/>
              <w:marTop w:val="0"/>
              <w:marBottom w:val="0"/>
              <w:divBdr>
                <w:top w:val="none" w:sz="0" w:space="0" w:color="auto"/>
                <w:left w:val="none" w:sz="0" w:space="0" w:color="auto"/>
                <w:bottom w:val="none" w:sz="0" w:space="0" w:color="auto"/>
                <w:right w:val="none" w:sz="0" w:space="0" w:color="auto"/>
              </w:divBdr>
              <w:divsChild>
                <w:div w:id="1450389664">
                  <w:marLeft w:val="0"/>
                  <w:marRight w:val="0"/>
                  <w:marTop w:val="0"/>
                  <w:marBottom w:val="0"/>
                  <w:divBdr>
                    <w:top w:val="none" w:sz="0" w:space="0" w:color="auto"/>
                    <w:left w:val="none" w:sz="0" w:space="0" w:color="auto"/>
                    <w:bottom w:val="none" w:sz="0" w:space="0" w:color="auto"/>
                    <w:right w:val="none" w:sz="0" w:space="0" w:color="auto"/>
                  </w:divBdr>
                  <w:divsChild>
                    <w:div w:id="1335038839">
                      <w:marLeft w:val="0"/>
                      <w:marRight w:val="0"/>
                      <w:marTop w:val="0"/>
                      <w:marBottom w:val="0"/>
                      <w:divBdr>
                        <w:top w:val="none" w:sz="0" w:space="0" w:color="auto"/>
                        <w:left w:val="none" w:sz="0" w:space="0" w:color="auto"/>
                        <w:bottom w:val="none" w:sz="0" w:space="0" w:color="auto"/>
                        <w:right w:val="none" w:sz="0" w:space="0" w:color="auto"/>
                      </w:divBdr>
                      <w:divsChild>
                        <w:div w:id="1352294972">
                          <w:marLeft w:val="0"/>
                          <w:marRight w:val="0"/>
                          <w:marTop w:val="0"/>
                          <w:marBottom w:val="0"/>
                          <w:divBdr>
                            <w:top w:val="none" w:sz="0" w:space="0" w:color="auto"/>
                            <w:left w:val="none" w:sz="0" w:space="0" w:color="auto"/>
                            <w:bottom w:val="none" w:sz="0" w:space="0" w:color="auto"/>
                            <w:right w:val="none" w:sz="0" w:space="0" w:color="auto"/>
                          </w:divBdr>
                          <w:divsChild>
                            <w:div w:id="436557859">
                              <w:marLeft w:val="0"/>
                              <w:marRight w:val="0"/>
                              <w:marTop w:val="0"/>
                              <w:marBottom w:val="0"/>
                              <w:divBdr>
                                <w:top w:val="none" w:sz="0" w:space="0" w:color="auto"/>
                                <w:left w:val="none" w:sz="0" w:space="0" w:color="auto"/>
                                <w:bottom w:val="none" w:sz="0" w:space="0" w:color="auto"/>
                                <w:right w:val="none" w:sz="0" w:space="0" w:color="auto"/>
                              </w:divBdr>
                              <w:divsChild>
                                <w:div w:id="702243614">
                                  <w:marLeft w:val="0"/>
                                  <w:marRight w:val="0"/>
                                  <w:marTop w:val="0"/>
                                  <w:marBottom w:val="0"/>
                                  <w:divBdr>
                                    <w:top w:val="none" w:sz="0" w:space="0" w:color="auto"/>
                                    <w:left w:val="none" w:sz="0" w:space="0" w:color="auto"/>
                                    <w:bottom w:val="none" w:sz="0" w:space="0" w:color="auto"/>
                                    <w:right w:val="none" w:sz="0" w:space="0" w:color="auto"/>
                                  </w:divBdr>
                                  <w:divsChild>
                                    <w:div w:id="1269846480">
                                      <w:marLeft w:val="0"/>
                                      <w:marRight w:val="0"/>
                                      <w:marTop w:val="0"/>
                                      <w:marBottom w:val="0"/>
                                      <w:divBdr>
                                        <w:top w:val="none" w:sz="0" w:space="0" w:color="auto"/>
                                        <w:left w:val="none" w:sz="0" w:space="0" w:color="auto"/>
                                        <w:bottom w:val="none" w:sz="0" w:space="0" w:color="auto"/>
                                        <w:right w:val="none" w:sz="0" w:space="0" w:color="auto"/>
                                      </w:divBdr>
                                      <w:divsChild>
                                        <w:div w:id="1634017167">
                                          <w:marLeft w:val="0"/>
                                          <w:marRight w:val="0"/>
                                          <w:marTop w:val="0"/>
                                          <w:marBottom w:val="0"/>
                                          <w:divBdr>
                                            <w:top w:val="none" w:sz="0" w:space="0" w:color="auto"/>
                                            <w:left w:val="none" w:sz="0" w:space="0" w:color="auto"/>
                                            <w:bottom w:val="none" w:sz="0" w:space="0" w:color="auto"/>
                                            <w:right w:val="none" w:sz="0" w:space="0" w:color="auto"/>
                                          </w:divBdr>
                                          <w:divsChild>
                                            <w:div w:id="1106969823">
                                              <w:marLeft w:val="0"/>
                                              <w:marRight w:val="0"/>
                                              <w:marTop w:val="0"/>
                                              <w:marBottom w:val="0"/>
                                              <w:divBdr>
                                                <w:top w:val="none" w:sz="0" w:space="0" w:color="auto"/>
                                                <w:left w:val="none" w:sz="0" w:space="0" w:color="auto"/>
                                                <w:bottom w:val="none" w:sz="0" w:space="0" w:color="auto"/>
                                                <w:right w:val="none" w:sz="0" w:space="0" w:color="auto"/>
                                              </w:divBdr>
                                              <w:divsChild>
                                                <w:div w:id="621574881">
                                                  <w:marLeft w:val="0"/>
                                                  <w:marRight w:val="0"/>
                                                  <w:marTop w:val="0"/>
                                                  <w:marBottom w:val="0"/>
                                                  <w:divBdr>
                                                    <w:top w:val="none" w:sz="0" w:space="0" w:color="auto"/>
                                                    <w:left w:val="none" w:sz="0" w:space="0" w:color="auto"/>
                                                    <w:bottom w:val="none" w:sz="0" w:space="0" w:color="auto"/>
                                                    <w:right w:val="none" w:sz="0" w:space="0" w:color="auto"/>
                                                  </w:divBdr>
                                                  <w:divsChild>
                                                    <w:div w:id="2145463333">
                                                      <w:marLeft w:val="0"/>
                                                      <w:marRight w:val="0"/>
                                                      <w:marTop w:val="0"/>
                                                      <w:marBottom w:val="0"/>
                                                      <w:divBdr>
                                                        <w:top w:val="none" w:sz="0" w:space="0" w:color="auto"/>
                                                        <w:left w:val="none" w:sz="0" w:space="0" w:color="auto"/>
                                                        <w:bottom w:val="none" w:sz="0" w:space="0" w:color="auto"/>
                                                        <w:right w:val="none" w:sz="0" w:space="0" w:color="auto"/>
                                                      </w:divBdr>
                                                      <w:divsChild>
                                                        <w:div w:id="1956326470">
                                                          <w:marLeft w:val="0"/>
                                                          <w:marRight w:val="0"/>
                                                          <w:marTop w:val="0"/>
                                                          <w:marBottom w:val="0"/>
                                                          <w:divBdr>
                                                            <w:top w:val="none" w:sz="0" w:space="0" w:color="auto"/>
                                                            <w:left w:val="none" w:sz="0" w:space="0" w:color="auto"/>
                                                            <w:bottom w:val="none" w:sz="0" w:space="0" w:color="auto"/>
                                                            <w:right w:val="none" w:sz="0" w:space="0" w:color="auto"/>
                                                          </w:divBdr>
                                                          <w:divsChild>
                                                            <w:div w:id="1212765320">
                                                              <w:marLeft w:val="0"/>
                                                              <w:marRight w:val="0"/>
                                                              <w:marTop w:val="0"/>
                                                              <w:marBottom w:val="0"/>
                                                              <w:divBdr>
                                                                <w:top w:val="none" w:sz="0" w:space="0" w:color="auto"/>
                                                                <w:left w:val="none" w:sz="0" w:space="0" w:color="auto"/>
                                                                <w:bottom w:val="none" w:sz="0" w:space="0" w:color="auto"/>
                                                                <w:right w:val="none" w:sz="0" w:space="0" w:color="auto"/>
                                                              </w:divBdr>
                                                              <w:divsChild>
                                                                <w:div w:id="1080642267">
                                                                  <w:marLeft w:val="0"/>
                                                                  <w:marRight w:val="0"/>
                                                                  <w:marTop w:val="0"/>
                                                                  <w:marBottom w:val="0"/>
                                                                  <w:divBdr>
                                                                    <w:top w:val="none" w:sz="0" w:space="0" w:color="auto"/>
                                                                    <w:left w:val="none" w:sz="0" w:space="0" w:color="auto"/>
                                                                    <w:bottom w:val="none" w:sz="0" w:space="0" w:color="auto"/>
                                                                    <w:right w:val="none" w:sz="0" w:space="0" w:color="auto"/>
                                                                  </w:divBdr>
                                                                  <w:divsChild>
                                                                    <w:div w:id="874729986">
                                                                      <w:marLeft w:val="0"/>
                                                                      <w:marRight w:val="0"/>
                                                                      <w:marTop w:val="0"/>
                                                                      <w:marBottom w:val="0"/>
                                                                      <w:divBdr>
                                                                        <w:top w:val="none" w:sz="0" w:space="0" w:color="auto"/>
                                                                        <w:left w:val="none" w:sz="0" w:space="0" w:color="auto"/>
                                                                        <w:bottom w:val="none" w:sz="0" w:space="0" w:color="auto"/>
                                                                        <w:right w:val="none" w:sz="0" w:space="0" w:color="auto"/>
                                                                      </w:divBdr>
                                                                      <w:divsChild>
                                                                        <w:div w:id="65931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4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6361257">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6106448">
      <w:bodyDiv w:val="1"/>
      <w:marLeft w:val="0"/>
      <w:marRight w:val="0"/>
      <w:marTop w:val="0"/>
      <w:marBottom w:val="0"/>
      <w:divBdr>
        <w:top w:val="none" w:sz="0" w:space="0" w:color="auto"/>
        <w:left w:val="none" w:sz="0" w:space="0" w:color="auto"/>
        <w:bottom w:val="none" w:sz="0" w:space="0" w:color="auto"/>
        <w:right w:val="none" w:sz="0" w:space="0" w:color="auto"/>
      </w:divBdr>
      <w:divsChild>
        <w:div w:id="1997373005">
          <w:marLeft w:val="0"/>
          <w:marRight w:val="0"/>
          <w:marTop w:val="0"/>
          <w:marBottom w:val="0"/>
          <w:divBdr>
            <w:top w:val="none" w:sz="0" w:space="0" w:color="auto"/>
            <w:left w:val="none" w:sz="0" w:space="0" w:color="auto"/>
            <w:bottom w:val="none" w:sz="0" w:space="0" w:color="auto"/>
            <w:right w:val="none" w:sz="0" w:space="0" w:color="auto"/>
          </w:divBdr>
          <w:divsChild>
            <w:div w:id="588395727">
              <w:marLeft w:val="0"/>
              <w:marRight w:val="0"/>
              <w:marTop w:val="0"/>
              <w:marBottom w:val="0"/>
              <w:divBdr>
                <w:top w:val="none" w:sz="0" w:space="0" w:color="auto"/>
                <w:left w:val="none" w:sz="0" w:space="0" w:color="auto"/>
                <w:bottom w:val="none" w:sz="0" w:space="0" w:color="auto"/>
                <w:right w:val="none" w:sz="0" w:space="0" w:color="auto"/>
              </w:divBdr>
              <w:divsChild>
                <w:div w:id="1988125504">
                  <w:marLeft w:val="0"/>
                  <w:marRight w:val="0"/>
                  <w:marTop w:val="0"/>
                  <w:marBottom w:val="0"/>
                  <w:divBdr>
                    <w:top w:val="single" w:sz="6" w:space="0" w:color="CCCCCC"/>
                    <w:left w:val="single" w:sz="6" w:space="0" w:color="CCCCCC"/>
                    <w:bottom w:val="single" w:sz="6" w:space="0" w:color="CCCCCC"/>
                    <w:right w:val="single" w:sz="6" w:space="0" w:color="CCCCCC"/>
                  </w:divBdr>
                  <w:divsChild>
                    <w:div w:id="501167361">
                      <w:marLeft w:val="0"/>
                      <w:marRight w:val="0"/>
                      <w:marTop w:val="0"/>
                      <w:marBottom w:val="0"/>
                      <w:divBdr>
                        <w:top w:val="none" w:sz="0" w:space="0" w:color="auto"/>
                        <w:left w:val="none" w:sz="0" w:space="0" w:color="auto"/>
                        <w:bottom w:val="none" w:sz="0" w:space="0" w:color="auto"/>
                        <w:right w:val="none" w:sz="0" w:space="0" w:color="auto"/>
                      </w:divBdr>
                      <w:divsChild>
                        <w:div w:id="1439445647">
                          <w:marLeft w:val="0"/>
                          <w:marRight w:val="0"/>
                          <w:marTop w:val="0"/>
                          <w:marBottom w:val="0"/>
                          <w:divBdr>
                            <w:top w:val="none" w:sz="0" w:space="0" w:color="auto"/>
                            <w:left w:val="none" w:sz="0" w:space="0" w:color="auto"/>
                            <w:bottom w:val="none" w:sz="0" w:space="0" w:color="auto"/>
                            <w:right w:val="none" w:sz="0" w:space="0" w:color="auto"/>
                          </w:divBdr>
                          <w:divsChild>
                            <w:div w:id="92020590">
                              <w:marLeft w:val="0"/>
                              <w:marRight w:val="0"/>
                              <w:marTop w:val="0"/>
                              <w:marBottom w:val="0"/>
                              <w:divBdr>
                                <w:top w:val="none" w:sz="0" w:space="0" w:color="auto"/>
                                <w:left w:val="none" w:sz="0" w:space="0" w:color="auto"/>
                                <w:bottom w:val="none" w:sz="0" w:space="0" w:color="auto"/>
                                <w:right w:val="none" w:sz="0" w:space="0" w:color="auto"/>
                              </w:divBdr>
                              <w:divsChild>
                                <w:div w:id="439840532">
                                  <w:marLeft w:val="0"/>
                                  <w:marRight w:val="0"/>
                                  <w:marTop w:val="0"/>
                                  <w:marBottom w:val="0"/>
                                  <w:divBdr>
                                    <w:top w:val="none" w:sz="0" w:space="0" w:color="auto"/>
                                    <w:left w:val="none" w:sz="0" w:space="0" w:color="auto"/>
                                    <w:bottom w:val="none" w:sz="0" w:space="0" w:color="auto"/>
                                    <w:right w:val="none" w:sz="0" w:space="0" w:color="auto"/>
                                  </w:divBdr>
                                  <w:divsChild>
                                    <w:div w:id="1808626950">
                                      <w:marLeft w:val="0"/>
                                      <w:marRight w:val="0"/>
                                      <w:marTop w:val="0"/>
                                      <w:marBottom w:val="0"/>
                                      <w:divBdr>
                                        <w:top w:val="none" w:sz="0" w:space="0" w:color="auto"/>
                                        <w:left w:val="none" w:sz="0" w:space="0" w:color="auto"/>
                                        <w:bottom w:val="none" w:sz="0" w:space="0" w:color="auto"/>
                                        <w:right w:val="none" w:sz="0" w:space="0" w:color="auto"/>
                                      </w:divBdr>
                                      <w:divsChild>
                                        <w:div w:id="1672879193">
                                          <w:marLeft w:val="0"/>
                                          <w:marRight w:val="0"/>
                                          <w:marTop w:val="0"/>
                                          <w:marBottom w:val="0"/>
                                          <w:divBdr>
                                            <w:top w:val="none" w:sz="0" w:space="0" w:color="auto"/>
                                            <w:left w:val="none" w:sz="0" w:space="0" w:color="auto"/>
                                            <w:bottom w:val="none" w:sz="0" w:space="0" w:color="auto"/>
                                            <w:right w:val="none" w:sz="0" w:space="0" w:color="auto"/>
                                          </w:divBdr>
                                          <w:divsChild>
                                            <w:div w:id="1465930714">
                                              <w:marLeft w:val="0"/>
                                              <w:marRight w:val="0"/>
                                              <w:marTop w:val="0"/>
                                              <w:marBottom w:val="0"/>
                                              <w:divBdr>
                                                <w:top w:val="none" w:sz="0" w:space="0" w:color="auto"/>
                                                <w:left w:val="none" w:sz="0" w:space="0" w:color="auto"/>
                                                <w:bottom w:val="none" w:sz="0" w:space="0" w:color="auto"/>
                                                <w:right w:val="none" w:sz="0" w:space="0" w:color="auto"/>
                                              </w:divBdr>
                                            </w:div>
                                          </w:divsChild>
                                        </w:div>
                                        <w:div w:id="1623072218">
                                          <w:marLeft w:val="0"/>
                                          <w:marRight w:val="0"/>
                                          <w:marTop w:val="0"/>
                                          <w:marBottom w:val="0"/>
                                          <w:divBdr>
                                            <w:top w:val="none" w:sz="0" w:space="0" w:color="auto"/>
                                            <w:left w:val="none" w:sz="0" w:space="0" w:color="auto"/>
                                            <w:bottom w:val="none" w:sz="0" w:space="0" w:color="auto"/>
                                            <w:right w:val="none" w:sz="0" w:space="0" w:color="auto"/>
                                          </w:divBdr>
                                          <w:divsChild>
                                            <w:div w:id="621617195">
                                              <w:marLeft w:val="0"/>
                                              <w:marRight w:val="0"/>
                                              <w:marTop w:val="0"/>
                                              <w:marBottom w:val="0"/>
                                              <w:divBdr>
                                                <w:top w:val="none" w:sz="0" w:space="0" w:color="auto"/>
                                                <w:left w:val="none" w:sz="0" w:space="0" w:color="auto"/>
                                                <w:bottom w:val="none" w:sz="0" w:space="0" w:color="auto"/>
                                                <w:right w:val="none" w:sz="0" w:space="0" w:color="auto"/>
                                              </w:divBdr>
                                            </w:div>
                                            <w:div w:id="898513126">
                                              <w:marLeft w:val="0"/>
                                              <w:marRight w:val="0"/>
                                              <w:marTop w:val="0"/>
                                              <w:marBottom w:val="0"/>
                                              <w:divBdr>
                                                <w:top w:val="none" w:sz="0" w:space="0" w:color="auto"/>
                                                <w:left w:val="none" w:sz="0" w:space="0" w:color="auto"/>
                                                <w:bottom w:val="none" w:sz="0" w:space="0" w:color="auto"/>
                                                <w:right w:val="none" w:sz="0" w:space="0" w:color="auto"/>
                                              </w:divBdr>
                                            </w:div>
                                          </w:divsChild>
                                        </w:div>
                                        <w:div w:id="187842320">
                                          <w:marLeft w:val="0"/>
                                          <w:marRight w:val="0"/>
                                          <w:marTop w:val="0"/>
                                          <w:marBottom w:val="0"/>
                                          <w:divBdr>
                                            <w:top w:val="none" w:sz="0" w:space="0" w:color="auto"/>
                                            <w:left w:val="none" w:sz="0" w:space="0" w:color="auto"/>
                                            <w:bottom w:val="none" w:sz="0" w:space="0" w:color="auto"/>
                                            <w:right w:val="none" w:sz="0" w:space="0" w:color="auto"/>
                                          </w:divBdr>
                                          <w:divsChild>
                                            <w:div w:id="1085882181">
                                              <w:marLeft w:val="0"/>
                                              <w:marRight w:val="0"/>
                                              <w:marTop w:val="0"/>
                                              <w:marBottom w:val="0"/>
                                              <w:divBdr>
                                                <w:top w:val="none" w:sz="0" w:space="0" w:color="auto"/>
                                                <w:left w:val="none" w:sz="0" w:space="0" w:color="auto"/>
                                                <w:bottom w:val="none" w:sz="0" w:space="0" w:color="auto"/>
                                                <w:right w:val="none" w:sz="0" w:space="0" w:color="auto"/>
                                              </w:divBdr>
                                            </w:div>
                                            <w:div w:id="1703627104">
                                              <w:marLeft w:val="0"/>
                                              <w:marRight w:val="0"/>
                                              <w:marTop w:val="0"/>
                                              <w:marBottom w:val="0"/>
                                              <w:divBdr>
                                                <w:top w:val="none" w:sz="0" w:space="0" w:color="auto"/>
                                                <w:left w:val="none" w:sz="0" w:space="0" w:color="auto"/>
                                                <w:bottom w:val="none" w:sz="0" w:space="0" w:color="auto"/>
                                                <w:right w:val="none" w:sz="0" w:space="0" w:color="auto"/>
                                              </w:divBdr>
                                            </w:div>
                                          </w:divsChild>
                                        </w:div>
                                        <w:div w:id="1633097267">
                                          <w:marLeft w:val="0"/>
                                          <w:marRight w:val="0"/>
                                          <w:marTop w:val="0"/>
                                          <w:marBottom w:val="0"/>
                                          <w:divBdr>
                                            <w:top w:val="none" w:sz="0" w:space="0" w:color="auto"/>
                                            <w:left w:val="none" w:sz="0" w:space="0" w:color="auto"/>
                                            <w:bottom w:val="none" w:sz="0" w:space="0" w:color="auto"/>
                                            <w:right w:val="none" w:sz="0" w:space="0" w:color="auto"/>
                                          </w:divBdr>
                                          <w:divsChild>
                                            <w:div w:id="1632248310">
                                              <w:marLeft w:val="0"/>
                                              <w:marRight w:val="0"/>
                                              <w:marTop w:val="0"/>
                                              <w:marBottom w:val="0"/>
                                              <w:divBdr>
                                                <w:top w:val="none" w:sz="0" w:space="0" w:color="auto"/>
                                                <w:left w:val="none" w:sz="0" w:space="0" w:color="auto"/>
                                                <w:bottom w:val="none" w:sz="0" w:space="0" w:color="auto"/>
                                                <w:right w:val="none" w:sz="0" w:space="0" w:color="auto"/>
                                              </w:divBdr>
                                            </w:div>
                                            <w:div w:id="1646855965">
                                              <w:marLeft w:val="0"/>
                                              <w:marRight w:val="0"/>
                                              <w:marTop w:val="0"/>
                                              <w:marBottom w:val="0"/>
                                              <w:divBdr>
                                                <w:top w:val="none" w:sz="0" w:space="0" w:color="auto"/>
                                                <w:left w:val="none" w:sz="0" w:space="0" w:color="auto"/>
                                                <w:bottom w:val="none" w:sz="0" w:space="0" w:color="auto"/>
                                                <w:right w:val="none" w:sz="0" w:space="0" w:color="auto"/>
                                              </w:divBdr>
                                            </w:div>
                                          </w:divsChild>
                                        </w:div>
                                        <w:div w:id="1115829228">
                                          <w:marLeft w:val="0"/>
                                          <w:marRight w:val="0"/>
                                          <w:marTop w:val="0"/>
                                          <w:marBottom w:val="0"/>
                                          <w:divBdr>
                                            <w:top w:val="none" w:sz="0" w:space="0" w:color="auto"/>
                                            <w:left w:val="none" w:sz="0" w:space="0" w:color="auto"/>
                                            <w:bottom w:val="none" w:sz="0" w:space="0" w:color="auto"/>
                                            <w:right w:val="none" w:sz="0" w:space="0" w:color="auto"/>
                                          </w:divBdr>
                                          <w:divsChild>
                                            <w:div w:id="1049691436">
                                              <w:marLeft w:val="0"/>
                                              <w:marRight w:val="0"/>
                                              <w:marTop w:val="0"/>
                                              <w:marBottom w:val="0"/>
                                              <w:divBdr>
                                                <w:top w:val="none" w:sz="0" w:space="0" w:color="auto"/>
                                                <w:left w:val="none" w:sz="0" w:space="0" w:color="auto"/>
                                                <w:bottom w:val="none" w:sz="0" w:space="0" w:color="auto"/>
                                                <w:right w:val="none" w:sz="0" w:space="0" w:color="auto"/>
                                              </w:divBdr>
                                            </w:div>
                                            <w:div w:id="1617560851">
                                              <w:marLeft w:val="0"/>
                                              <w:marRight w:val="0"/>
                                              <w:marTop w:val="0"/>
                                              <w:marBottom w:val="0"/>
                                              <w:divBdr>
                                                <w:top w:val="none" w:sz="0" w:space="0" w:color="auto"/>
                                                <w:left w:val="none" w:sz="0" w:space="0" w:color="auto"/>
                                                <w:bottom w:val="none" w:sz="0" w:space="0" w:color="auto"/>
                                                <w:right w:val="none" w:sz="0" w:space="0" w:color="auto"/>
                                              </w:divBdr>
                                            </w:div>
                                          </w:divsChild>
                                        </w:div>
                                        <w:div w:id="1759713077">
                                          <w:marLeft w:val="0"/>
                                          <w:marRight w:val="0"/>
                                          <w:marTop w:val="0"/>
                                          <w:marBottom w:val="0"/>
                                          <w:divBdr>
                                            <w:top w:val="none" w:sz="0" w:space="0" w:color="auto"/>
                                            <w:left w:val="none" w:sz="0" w:space="0" w:color="auto"/>
                                            <w:bottom w:val="none" w:sz="0" w:space="0" w:color="auto"/>
                                            <w:right w:val="none" w:sz="0" w:space="0" w:color="auto"/>
                                          </w:divBdr>
                                          <w:divsChild>
                                            <w:div w:id="2132429877">
                                              <w:marLeft w:val="0"/>
                                              <w:marRight w:val="0"/>
                                              <w:marTop w:val="0"/>
                                              <w:marBottom w:val="0"/>
                                              <w:divBdr>
                                                <w:top w:val="none" w:sz="0" w:space="0" w:color="auto"/>
                                                <w:left w:val="none" w:sz="0" w:space="0" w:color="auto"/>
                                                <w:bottom w:val="none" w:sz="0" w:space="0" w:color="auto"/>
                                                <w:right w:val="none" w:sz="0" w:space="0" w:color="auto"/>
                                              </w:divBdr>
                                            </w:div>
                                            <w:div w:id="1405714173">
                                              <w:marLeft w:val="0"/>
                                              <w:marRight w:val="0"/>
                                              <w:marTop w:val="0"/>
                                              <w:marBottom w:val="0"/>
                                              <w:divBdr>
                                                <w:top w:val="none" w:sz="0" w:space="0" w:color="auto"/>
                                                <w:left w:val="none" w:sz="0" w:space="0" w:color="auto"/>
                                                <w:bottom w:val="none" w:sz="0" w:space="0" w:color="auto"/>
                                                <w:right w:val="none" w:sz="0" w:space="0" w:color="auto"/>
                                              </w:divBdr>
                                              <w:divsChild>
                                                <w:div w:id="72792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64132">
      <w:bodyDiv w:val="1"/>
      <w:marLeft w:val="0"/>
      <w:marRight w:val="0"/>
      <w:marTop w:val="0"/>
      <w:marBottom w:val="0"/>
      <w:divBdr>
        <w:top w:val="none" w:sz="0" w:space="0" w:color="auto"/>
        <w:left w:val="none" w:sz="0" w:space="0" w:color="auto"/>
        <w:bottom w:val="none" w:sz="0" w:space="0" w:color="auto"/>
        <w:right w:val="none" w:sz="0" w:space="0" w:color="auto"/>
      </w:divBdr>
    </w:div>
    <w:div w:id="208968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portal.etsi.org/webapp/MeetingCalendar/MeetingDetails.asp?m_id=18779"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F93AD-8F50-48D5-B3C3-EE1622F68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2</Pages>
  <Words>954</Words>
  <Characters>5440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6382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2019-05-03T20:19:00Z</dcterms:created>
  <dcterms:modified xsi:type="dcterms:W3CDTF">2019-05-03T21:34:00Z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